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B80F5" w14:textId="65993C4E" w:rsidR="00A93921" w:rsidRDefault="00101193" w:rsidP="5C9B80F5">
      <w:pPr>
        <w:jc w:val="center"/>
        <w:rPr>
          <w:rFonts w:ascii="Times New Roman" w:eastAsia="Times New Roman" w:hAnsi="Times New Roman" w:cs="Times New Roman"/>
          <w:b/>
          <w:bCs/>
          <w:sz w:val="32"/>
          <w:szCs w:val="32"/>
        </w:rPr>
      </w:pPr>
      <w:r>
        <w:rPr>
          <w:noProof/>
        </w:rPr>
        <mc:AlternateContent>
          <mc:Choice Requires="wps">
            <w:drawing>
              <wp:anchor distT="0" distB="0" distL="114300" distR="114300" simplePos="0" relativeHeight="15728640" behindDoc="0" locked="0" layoutInCell="1" allowOverlap="1" wp14:anchorId="36A8ADAC" wp14:editId="76191D4A">
                <wp:simplePos x="0" y="0"/>
                <wp:positionH relativeFrom="page">
                  <wp:posOffset>2540</wp:posOffset>
                </wp:positionH>
                <wp:positionV relativeFrom="page">
                  <wp:posOffset>10104120</wp:posOffset>
                </wp:positionV>
                <wp:extent cx="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5DF2E" id="Line 3" o:spid="_x0000_s1026" style="position:absolute;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95.6pt" to=".2pt,79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8yysQEAAFsDAAAOAAAAZHJzL2Uyb0RvYy54bWysU02P0zAQvSPxHyzfado9VBA13UPLclmg&#13;&#10;0i4/YGo7iYXjsWbcJv332E5bVnBD5GCN5+P5zZvJ5nEanDgbYou+kavFUgrjFWrru0b+eH368FEK&#13;&#10;juA1OPSmkRfD8nH7/t1mDLV5wB6dNiQSiOd6DI3sYwx1VbHqzQC8wGB8CrZIA8R0pa7SBGNCH1z1&#13;&#10;sFyuqxFJB0JlmJN3PwfltuC3rVHxe9uyicI1MnGL5aRyHvNZbTdQdwSht+pKA/6BxQDWp0fvUHuI&#13;&#10;IE5k/4IarCJkbONC4VBh21plSg+pm9Xyj25eegim9JLE4XCXif8frPp23vkDZepq8i/hGdVPFh53&#13;&#10;PfjOFAKvl5AGt8pSVWPg+l6SLxwOJI7jV9QpB04RiwpTS0OGTP2JqYh9uYttpijU7FQ3bwX1rSQQ&#13;&#10;xy8GB5GNRjrrswJQw/mZY6YA9S0luz0+WefKFJ0XYyM/rdbrUsDorM7BnMbUHXeOxBnyHpSv9JMi&#13;&#10;b9My8h64n/NKaN4QwpPX5ZXegP58tSNYN9uJlfNXfbIkef+4PqK+HOimW5pgoX/dtrwib++l+vc/&#13;&#10;sf0FAAD//wMAUEsDBBQABgAIAAAAIQBZAlFl2wAAAAwBAAAPAAAAZHJzL2Rvd25yZXYueG1sTE/J&#13;&#10;TsMwEL0j8Q/WIHGjTquaJY1TIaBCHBsWcXTtIYmIx5HttuHvGQ4ILiO9eTNvqdaTH8QBY+oDaZjP&#13;&#10;ChBINrieWg0vz5uLaxApG3JmCIQavjDBuj49qUzpwpG2eGhyK1iEUmk0dDmPpZTJduhNmoURibmP&#13;&#10;EL3JDGMrXTRHFveDXBTFpfSmJ3bozIh3HdrPZu81pGUTlX1P6ko+2deHzdujUkRan59N9ysetysQ&#13;&#10;Gaf89wE/HTg/1BxsF/bkkhg0LPmOt+pmvgDBPOPdL5Z1Jf+XqL8BAAD//wMAUEsBAi0AFAAGAAgA&#13;&#10;AAAhALaDOJL+AAAA4QEAABMAAAAAAAAAAAAAAAAAAAAAAFtDb250ZW50X1R5cGVzXS54bWxQSwEC&#13;&#10;LQAUAAYACAAAACEAOP0h/9YAAACUAQAACwAAAAAAAAAAAAAAAAAvAQAAX3JlbHMvLnJlbHNQSwEC&#13;&#10;LQAUAAYACAAAACEAqBPMsrEBAABbAwAADgAAAAAAAAAAAAAAAAAuAgAAZHJzL2Uyb0RvYy54bWxQ&#13;&#10;SwECLQAUAAYACAAAACEAWQJRZdsAAAAMAQAADwAAAAAAAAAAAAAAAAALBAAAZHJzL2Rvd25yZXYu&#13;&#10;eG1sUEsFBgAAAAAEAAQA8wAAABMFAAAAAA==&#13;&#10;" strokeweight=".25461mm">
                <w10:wrap anchorx="page" anchory="page"/>
              </v:line>
            </w:pict>
          </mc:Fallback>
        </mc:AlternateContent>
      </w:r>
      <w:r w:rsidR="00A53215" w:rsidRPr="3132D044">
        <w:rPr>
          <w:rFonts w:ascii="Times New Roman" w:eastAsia="Times New Roman" w:hAnsi="Times New Roman" w:cs="Times New Roman"/>
          <w:b/>
          <w:bCs/>
          <w:sz w:val="32"/>
          <w:szCs w:val="32"/>
        </w:rPr>
        <w:t xml:space="preserve">2022 Local Plan Modifications </w:t>
      </w:r>
    </w:p>
    <w:p w14:paraId="6120B585" w14:textId="3ECE698E" w:rsidR="00A93921" w:rsidRDefault="00A93921" w:rsidP="5C9B80F5">
      <w:pPr>
        <w:jc w:val="center"/>
        <w:rPr>
          <w:b/>
          <w:bCs/>
          <w:sz w:val="32"/>
          <w:szCs w:val="32"/>
        </w:rPr>
      </w:pPr>
    </w:p>
    <w:p w14:paraId="542E5D00" w14:textId="192F61AF" w:rsidR="00A93921" w:rsidRDefault="00101193" w:rsidP="5C9B80F5">
      <w:pPr>
        <w:jc w:val="center"/>
      </w:pPr>
      <w:r>
        <w:rPr>
          <w:noProof/>
        </w:rPr>
        <w:drawing>
          <wp:inline distT="0" distB="0" distL="0" distR="0" wp14:anchorId="18FA8CA2" wp14:editId="69B7195E">
            <wp:extent cx="9182100" cy="523875"/>
            <wp:effectExtent l="0" t="0" r="0" b="0"/>
            <wp:docPr id="1401712065" name="Picture 140171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182100" cy="523875"/>
                    </a:xfrm>
                    <a:prstGeom prst="rect">
                      <a:avLst/>
                    </a:prstGeom>
                  </pic:spPr>
                </pic:pic>
              </a:graphicData>
            </a:graphic>
          </wp:inline>
        </w:drawing>
      </w:r>
    </w:p>
    <w:p w14:paraId="4C1F86D0" w14:textId="77777777" w:rsidR="00A53215" w:rsidRPr="004B2CE8" w:rsidRDefault="00A53215" w:rsidP="3132D044">
      <w:pPr>
        <w:rPr>
          <w:rFonts w:ascii="Times New Roman" w:eastAsia="Times New Roman" w:hAnsi="Times New Roman" w:cs="Times New Roman"/>
          <w:sz w:val="24"/>
          <w:szCs w:val="24"/>
        </w:rPr>
      </w:pPr>
    </w:p>
    <w:p w14:paraId="7083BA5E" w14:textId="06E5458B" w:rsidR="00A93921" w:rsidRPr="0084389A" w:rsidRDefault="5C9B80F5" w:rsidP="5C9B80F5">
      <w:pPr>
        <w:jc w:val="both"/>
        <w:rPr>
          <w:rFonts w:ascii="Times New Roman" w:eastAsia="Times New Roman" w:hAnsi="Times New Roman" w:cs="Times New Roman"/>
          <w:i/>
          <w:iCs/>
          <w:color w:val="424146"/>
          <w:sz w:val="24"/>
          <w:szCs w:val="24"/>
        </w:rPr>
      </w:pPr>
      <w:r w:rsidRPr="5C9B80F5">
        <w:rPr>
          <w:rFonts w:ascii="Times New Roman" w:eastAsia="Times New Roman" w:hAnsi="Times New Roman" w:cs="Times New Roman"/>
          <w:b/>
          <w:bCs/>
          <w:sz w:val="24"/>
          <w:szCs w:val="24"/>
        </w:rPr>
        <w:t>1a.</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Provide information regarding service strategies implemented both in the physical AJCs, as well as virtually, to include a description of:</w:t>
      </w:r>
    </w:p>
    <w:p w14:paraId="08919C11" w14:textId="6AD630D0" w:rsidR="00C2370F" w:rsidRPr="00CB1C13" w:rsidRDefault="5C9B80F5" w:rsidP="5C9B80F5">
      <w:pPr>
        <w:jc w:val="both"/>
        <w:rPr>
          <w:rFonts w:ascii="Times New Roman" w:eastAsia="Times New Roman" w:hAnsi="Times New Roman" w:cs="Times New Roman"/>
          <w:b/>
          <w:bCs/>
          <w:color w:val="424146"/>
          <w:sz w:val="24"/>
          <w:szCs w:val="24"/>
        </w:rPr>
      </w:pPr>
      <w:r w:rsidRPr="5C9B80F5">
        <w:rPr>
          <w:rFonts w:ascii="Times New Roman" w:eastAsia="Times New Roman" w:hAnsi="Times New Roman" w:cs="Times New Roman"/>
          <w:b/>
          <w:bCs/>
          <w:sz w:val="24"/>
          <w:szCs w:val="24"/>
        </w:rPr>
        <w:t xml:space="preserve">The East Tennessee Local Workforce Development Board, as a strategic leader, boasts a strong partnership with employers, education providers, and economic development agencies.  This strong partnership has provided the venue for East’s implementation and transition to a technology focused operation.  The ETLWDB aligns workforce development, education, and economic development.   </w:t>
      </w:r>
    </w:p>
    <w:p w14:paraId="24170BDB" w14:textId="3958168C" w:rsidR="2B7E579D" w:rsidRDefault="2B7E579D" w:rsidP="5C9B80F5">
      <w:pPr>
        <w:jc w:val="both"/>
        <w:rPr>
          <w:rFonts w:ascii="Times New Roman" w:eastAsia="Times New Roman" w:hAnsi="Times New Roman" w:cs="Times New Roman"/>
          <w:sz w:val="24"/>
          <w:szCs w:val="24"/>
        </w:rPr>
      </w:pPr>
    </w:p>
    <w:p w14:paraId="551CEBA7" w14:textId="5E0B1FF7" w:rsidR="00031301" w:rsidRPr="0084389A" w:rsidRDefault="5C9B80F5" w:rsidP="5C9B80F5">
      <w:pPr>
        <w:jc w:val="both"/>
        <w:rPr>
          <w:rFonts w:ascii="Times New Roman" w:eastAsia="Times New Roman" w:hAnsi="Times New Roman" w:cs="Times New Roman"/>
          <w:i/>
          <w:iCs/>
          <w:color w:val="424146"/>
          <w:sz w:val="24"/>
          <w:szCs w:val="24"/>
        </w:rPr>
      </w:pPr>
      <w:r w:rsidRPr="5C9B80F5">
        <w:rPr>
          <w:rFonts w:ascii="Times New Roman" w:eastAsia="Times New Roman" w:hAnsi="Times New Roman" w:cs="Times New Roman"/>
          <w:b/>
          <w:bCs/>
          <w:sz w:val="24"/>
          <w:szCs w:val="24"/>
        </w:rPr>
        <w:t>1b.</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How the one-stop system is implementing and transitioning to more integrated, technology-focused operations to improve outreach to jobseekers and employers, provide intake, and enhance case management for programs carried out under all partners included in the workforce</w:t>
      </w:r>
    </w:p>
    <w:p w14:paraId="181CDDFF" w14:textId="05C3F55A" w:rsidR="000C6D49" w:rsidRPr="000C6D49" w:rsidRDefault="5C9B80F5" w:rsidP="5C9B80F5">
      <w:pPr>
        <w:jc w:val="both"/>
        <w:rPr>
          <w:rFonts w:ascii="Times New Roman" w:eastAsia="Times New Roman" w:hAnsi="Times New Roman" w:cs="Times New Roman"/>
          <w:b/>
          <w:bCs/>
          <w:color w:val="424146"/>
          <w:sz w:val="24"/>
          <w:szCs w:val="24"/>
        </w:rPr>
      </w:pPr>
      <w:r w:rsidRPr="5C9B80F5">
        <w:rPr>
          <w:rFonts w:ascii="Times New Roman" w:eastAsia="Times New Roman" w:hAnsi="Times New Roman" w:cs="Times New Roman"/>
          <w:b/>
          <w:bCs/>
          <w:sz w:val="24"/>
          <w:szCs w:val="24"/>
        </w:rPr>
        <w:t xml:space="preserve">East has embraced the following technology: </w:t>
      </w:r>
      <w:proofErr w:type="spellStart"/>
      <w:r w:rsidRPr="5C9B80F5">
        <w:rPr>
          <w:rFonts w:ascii="Times New Roman" w:eastAsia="Times New Roman" w:hAnsi="Times New Roman" w:cs="Times New Roman"/>
          <w:b/>
          <w:bCs/>
          <w:sz w:val="24"/>
          <w:szCs w:val="24"/>
        </w:rPr>
        <w:t>Menti</w:t>
      </w:r>
      <w:proofErr w:type="spellEnd"/>
      <w:r w:rsidRPr="5C9B80F5">
        <w:rPr>
          <w:rFonts w:ascii="Times New Roman" w:eastAsia="Times New Roman" w:hAnsi="Times New Roman" w:cs="Times New Roman"/>
          <w:b/>
          <w:bCs/>
          <w:sz w:val="24"/>
          <w:szCs w:val="24"/>
        </w:rPr>
        <w:t xml:space="preserve">, Doodle, DocuSign, Premier Virtual, Engage </w:t>
      </w:r>
      <w:bookmarkStart w:id="0" w:name="_Int_sOPzPZDf"/>
      <w:r w:rsidRPr="5C9B80F5">
        <w:rPr>
          <w:rFonts w:ascii="Times New Roman" w:eastAsia="Times New Roman" w:hAnsi="Times New Roman" w:cs="Times New Roman"/>
          <w:b/>
          <w:bCs/>
          <w:sz w:val="24"/>
          <w:szCs w:val="24"/>
        </w:rPr>
        <w:t>By</w:t>
      </w:r>
      <w:bookmarkEnd w:id="0"/>
      <w:r w:rsidRPr="5C9B80F5">
        <w:rPr>
          <w:rFonts w:ascii="Times New Roman" w:eastAsia="Times New Roman" w:hAnsi="Times New Roman" w:cs="Times New Roman"/>
          <w:b/>
          <w:bCs/>
          <w:sz w:val="24"/>
          <w:szCs w:val="24"/>
        </w:rPr>
        <w:t xml:space="preserve"> Cell, WebEx, Microsoft Teams, Zoom, and piloted the deployment of the Virtual AJC Scheduling component.  The implementation of this technology has improved outreach to job seekers and employers, enhanced common intake across all AJC partners, and augmented the ability and functionality of case management, especially during the heart of the pandemic.  East’s federal performance metrics and the state’s Key Performance Indicators during the pandemic, and continuing, reflect little or no change in pre and post enrollment targets and performance.  </w:t>
      </w:r>
    </w:p>
    <w:p w14:paraId="267D4DDD" w14:textId="77777777" w:rsidR="00031301" w:rsidRDefault="00031301" w:rsidP="5C9B80F5">
      <w:pPr>
        <w:jc w:val="both"/>
        <w:rPr>
          <w:rFonts w:ascii="Times New Roman" w:eastAsia="Times New Roman" w:hAnsi="Times New Roman" w:cs="Times New Roman"/>
          <w:sz w:val="24"/>
          <w:szCs w:val="24"/>
        </w:rPr>
      </w:pPr>
    </w:p>
    <w:p w14:paraId="3020E30A" w14:textId="50003523" w:rsidR="00031301" w:rsidRDefault="5C9B80F5" w:rsidP="5C9B80F5">
      <w:pPr>
        <w:rPr>
          <w:rFonts w:ascii="Times New Roman" w:eastAsia="Times New Roman" w:hAnsi="Times New Roman" w:cs="Times New Roman"/>
          <w:i/>
          <w:iCs/>
          <w:color w:val="000013"/>
          <w:sz w:val="24"/>
          <w:szCs w:val="24"/>
        </w:rPr>
      </w:pPr>
      <w:r w:rsidRPr="5C9B80F5">
        <w:rPr>
          <w:rFonts w:ascii="Times New Roman" w:eastAsia="Times New Roman" w:hAnsi="Times New Roman" w:cs="Times New Roman"/>
          <w:b/>
          <w:bCs/>
          <w:sz w:val="24"/>
          <w:szCs w:val="24"/>
        </w:rPr>
        <w:t xml:space="preserve">1c. </w:t>
      </w:r>
      <w:r w:rsidRPr="5C9B80F5">
        <w:rPr>
          <w:rFonts w:ascii="Times New Roman" w:eastAsia="Times New Roman" w:hAnsi="Times New Roman" w:cs="Times New Roman"/>
          <w:i/>
          <w:iCs/>
          <w:sz w:val="24"/>
          <w:szCs w:val="24"/>
        </w:rPr>
        <w:t>Provide a description of the initiatives the LWDB (including all partners) are implementing or will be implementing to ensure accessibility to programmatic services.</w:t>
      </w:r>
    </w:p>
    <w:p w14:paraId="24F2E876" w14:textId="5EC251C0" w:rsidR="000C6D49" w:rsidRPr="000C6D49" w:rsidRDefault="5C9B80F5" w:rsidP="3132D044">
      <w:pPr>
        <w:jc w:val="both"/>
        <w:rPr>
          <w:rFonts w:ascii="Times New Roman" w:eastAsia="Times New Roman" w:hAnsi="Times New Roman" w:cs="Times New Roman"/>
          <w:b/>
          <w:bCs/>
          <w:color w:val="2F2F34"/>
          <w:sz w:val="24"/>
          <w:szCs w:val="24"/>
        </w:rPr>
      </w:pPr>
      <w:r w:rsidRPr="5C9B80F5">
        <w:rPr>
          <w:rFonts w:ascii="Times New Roman" w:eastAsia="Times New Roman" w:hAnsi="Times New Roman" w:cs="Times New Roman"/>
          <w:b/>
          <w:bCs/>
          <w:sz w:val="24"/>
          <w:szCs w:val="24"/>
        </w:rPr>
        <w:t xml:space="preserve">ETLWDA utilizes the scheduling feature, Appointment Scheduling, of the Virtual AJC as a common point of entry for the workforce system.  East’s deployment of DocuSign, available to all partners, ensures accessibility to programmatic services.  East embraced remote access to services during the height of the pandemic and continues this model to ensure programmatic services </w:t>
      </w:r>
      <w:r w:rsidR="00367907">
        <w:rPr>
          <w:rFonts w:ascii="Times New Roman" w:eastAsia="Times New Roman" w:hAnsi="Times New Roman" w:cs="Times New Roman"/>
          <w:b/>
          <w:bCs/>
          <w:sz w:val="24"/>
          <w:szCs w:val="24"/>
        </w:rPr>
        <w:t xml:space="preserve">are </w:t>
      </w:r>
      <w:r w:rsidRPr="5C9B80F5">
        <w:rPr>
          <w:rFonts w:ascii="Times New Roman" w:eastAsia="Times New Roman" w:hAnsi="Times New Roman" w:cs="Times New Roman"/>
          <w:b/>
          <w:bCs/>
          <w:sz w:val="24"/>
          <w:szCs w:val="24"/>
        </w:rPr>
        <w:t xml:space="preserve">delivered seamlessly throughout the area.  American Job Centers are strategically located throughout the Area and are accessible by </w:t>
      </w:r>
      <w:r w:rsidR="00367907" w:rsidRPr="5C9B80F5">
        <w:rPr>
          <w:rFonts w:ascii="Times New Roman" w:eastAsia="Times New Roman" w:hAnsi="Times New Roman" w:cs="Times New Roman"/>
          <w:b/>
          <w:bCs/>
          <w:sz w:val="24"/>
          <w:szCs w:val="24"/>
        </w:rPr>
        <w:t>differently abled</w:t>
      </w:r>
      <w:r w:rsidRPr="5C9B80F5">
        <w:rPr>
          <w:rFonts w:ascii="Times New Roman" w:eastAsia="Times New Roman" w:hAnsi="Times New Roman" w:cs="Times New Roman"/>
          <w:b/>
          <w:bCs/>
          <w:sz w:val="24"/>
          <w:szCs w:val="24"/>
        </w:rPr>
        <w:t xml:space="preserve"> individuals.  The ETLWDA utilizes VOS to accommodate customer intake, case management, and accountability reporting among partners.</w:t>
      </w:r>
      <w:r w:rsidR="00367907">
        <w:rPr>
          <w:rFonts w:ascii="Times New Roman" w:eastAsia="Times New Roman" w:hAnsi="Times New Roman" w:cs="Times New Roman"/>
          <w:b/>
          <w:bCs/>
          <w:sz w:val="24"/>
          <w:szCs w:val="24"/>
        </w:rPr>
        <w:t xml:space="preserve"> </w:t>
      </w:r>
      <w:r w:rsidRPr="5C9B80F5">
        <w:rPr>
          <w:rFonts w:ascii="Times New Roman" w:eastAsia="Times New Roman" w:hAnsi="Times New Roman" w:cs="Times New Roman"/>
          <w:b/>
          <w:bCs/>
          <w:sz w:val="24"/>
          <w:szCs w:val="24"/>
        </w:rPr>
        <w:t xml:space="preserve"> Jobs4TN/VOS provides an in</w:t>
      </w:r>
      <w:r w:rsidR="00367907">
        <w:rPr>
          <w:rFonts w:ascii="Times New Roman" w:eastAsia="Times New Roman" w:hAnsi="Times New Roman" w:cs="Times New Roman"/>
          <w:b/>
          <w:bCs/>
          <w:sz w:val="24"/>
          <w:szCs w:val="24"/>
        </w:rPr>
        <w:t xml:space="preserve">tegrated electronic application that </w:t>
      </w:r>
      <w:r w:rsidRPr="5C9B80F5">
        <w:rPr>
          <w:rFonts w:ascii="Times New Roman" w:eastAsia="Times New Roman" w:hAnsi="Times New Roman" w:cs="Times New Roman"/>
          <w:b/>
          <w:bCs/>
          <w:sz w:val="24"/>
          <w:szCs w:val="24"/>
        </w:rPr>
        <w:t>gathers relevant information to determine eligibility for Titles I, II, and III of WIOA (SNAP, TAA/TRA, Apprenticeship) while sharing common information.</w:t>
      </w:r>
      <w:r w:rsidR="00367907">
        <w:rPr>
          <w:rFonts w:ascii="Times New Roman" w:eastAsia="Times New Roman" w:hAnsi="Times New Roman" w:cs="Times New Roman"/>
          <w:b/>
          <w:bCs/>
          <w:sz w:val="24"/>
          <w:szCs w:val="24"/>
        </w:rPr>
        <w:t xml:space="preserve"> </w:t>
      </w:r>
      <w:r w:rsidRPr="5C9B80F5">
        <w:rPr>
          <w:rFonts w:ascii="Times New Roman" w:eastAsia="Times New Roman" w:hAnsi="Times New Roman" w:cs="Times New Roman"/>
          <w:b/>
          <w:bCs/>
          <w:sz w:val="24"/>
          <w:szCs w:val="24"/>
        </w:rPr>
        <w:t xml:space="preserve"> This electronic application serves as the repository for all related activities and includes electronic case notes </w:t>
      </w:r>
      <w:r w:rsidR="00367907">
        <w:rPr>
          <w:rFonts w:ascii="Times New Roman" w:eastAsia="Times New Roman" w:hAnsi="Times New Roman" w:cs="Times New Roman"/>
          <w:b/>
          <w:bCs/>
          <w:sz w:val="24"/>
          <w:szCs w:val="24"/>
        </w:rPr>
        <w:t>that</w:t>
      </w:r>
      <w:r w:rsidRPr="5C9B80F5">
        <w:rPr>
          <w:rFonts w:ascii="Times New Roman" w:eastAsia="Times New Roman" w:hAnsi="Times New Roman" w:cs="Times New Roman"/>
          <w:b/>
          <w:bCs/>
          <w:sz w:val="24"/>
          <w:szCs w:val="24"/>
        </w:rPr>
        <w:t xml:space="preserve"> should document a participant's progress. </w:t>
      </w:r>
      <w:r w:rsidR="00367907">
        <w:rPr>
          <w:rFonts w:ascii="Times New Roman" w:eastAsia="Times New Roman" w:hAnsi="Times New Roman" w:cs="Times New Roman"/>
          <w:b/>
          <w:bCs/>
          <w:sz w:val="24"/>
          <w:szCs w:val="24"/>
        </w:rPr>
        <w:t xml:space="preserve"> </w:t>
      </w:r>
      <w:r w:rsidRPr="5C9B80F5">
        <w:rPr>
          <w:rFonts w:ascii="Times New Roman" w:eastAsia="Times New Roman" w:hAnsi="Times New Roman" w:cs="Times New Roman"/>
          <w:b/>
          <w:bCs/>
          <w:sz w:val="24"/>
          <w:szCs w:val="24"/>
        </w:rPr>
        <w:t>The entirety of the application presents a total picture regarding an individual's interaction with the workforce system.  East’s usage of DocuSign for electronic signature has strengthened the Area’s ability to deliver services.  Recognizing that many of the rural/remote areas of East continue to struggle with access to technology, ETLWDA has increased its span of reach in establishing access points, with broadband access, to many of the rural counties.  East plans to continue i</w:t>
      </w:r>
      <w:r w:rsidR="00384EEA">
        <w:rPr>
          <w:rFonts w:ascii="Times New Roman" w:eastAsia="Times New Roman" w:hAnsi="Times New Roman" w:cs="Times New Roman"/>
          <w:b/>
          <w:bCs/>
          <w:sz w:val="24"/>
          <w:szCs w:val="24"/>
        </w:rPr>
        <w:t>t</w:t>
      </w:r>
      <w:r w:rsidRPr="5C9B80F5">
        <w:rPr>
          <w:rFonts w:ascii="Times New Roman" w:eastAsia="Times New Roman" w:hAnsi="Times New Roman" w:cs="Times New Roman"/>
          <w:b/>
          <w:bCs/>
          <w:sz w:val="24"/>
          <w:szCs w:val="24"/>
        </w:rPr>
        <w:t xml:space="preserve">s expansion of access points throughout the life cycle of this plan. </w:t>
      </w:r>
      <w:r w:rsidRPr="5C9B80F5">
        <w:rPr>
          <w:rFonts w:ascii="Times New Roman" w:eastAsia="Times New Roman" w:hAnsi="Times New Roman" w:cs="Times New Roman"/>
          <w:sz w:val="24"/>
          <w:szCs w:val="24"/>
        </w:rPr>
        <w:t xml:space="preserve"> </w:t>
      </w:r>
    </w:p>
    <w:p w14:paraId="0221C067" w14:textId="77777777" w:rsidR="00031301" w:rsidRDefault="00031301" w:rsidP="3132D044">
      <w:pPr>
        <w:rPr>
          <w:rFonts w:ascii="Times New Roman" w:eastAsia="Times New Roman" w:hAnsi="Times New Roman" w:cs="Times New Roman"/>
          <w:sz w:val="24"/>
          <w:szCs w:val="24"/>
        </w:rPr>
      </w:pPr>
    </w:p>
    <w:p w14:paraId="63DED6FA" w14:textId="533508E6" w:rsidR="00A93921" w:rsidRDefault="5C9B80F5" w:rsidP="5C9B80F5">
      <w:pPr>
        <w:jc w:val="both"/>
        <w:rPr>
          <w:rFonts w:ascii="Times New Roman" w:eastAsia="Times New Roman" w:hAnsi="Times New Roman" w:cs="Times New Roman"/>
          <w:i/>
          <w:iCs/>
          <w:color w:val="424146"/>
          <w:sz w:val="24"/>
          <w:szCs w:val="24"/>
        </w:rPr>
      </w:pPr>
      <w:r w:rsidRPr="5C9B80F5">
        <w:rPr>
          <w:rFonts w:ascii="Times New Roman" w:eastAsia="Times New Roman" w:hAnsi="Times New Roman" w:cs="Times New Roman"/>
          <w:b/>
          <w:bCs/>
          <w:sz w:val="24"/>
          <w:szCs w:val="24"/>
        </w:rPr>
        <w:t xml:space="preserve">1d. </w:t>
      </w:r>
      <w:r w:rsidRPr="5C9B80F5">
        <w:rPr>
          <w:rFonts w:ascii="Times New Roman" w:eastAsia="Times New Roman" w:hAnsi="Times New Roman" w:cs="Times New Roman"/>
          <w:i/>
          <w:iCs/>
          <w:sz w:val="24"/>
          <w:szCs w:val="24"/>
        </w:rPr>
        <w:t>How will technology continue to improve the connection to partners across the workforce system?  Include the advances made during, as well as those to continue post-COVID.</w:t>
      </w:r>
    </w:p>
    <w:p w14:paraId="20963A35" w14:textId="7988CC48" w:rsidR="000C6D49" w:rsidRPr="00031301" w:rsidRDefault="5C9B80F5" w:rsidP="5C9B80F5">
      <w:pPr>
        <w:jc w:val="both"/>
        <w:rPr>
          <w:rFonts w:ascii="Times New Roman" w:eastAsia="Times New Roman" w:hAnsi="Times New Roman" w:cs="Times New Roman"/>
          <w:b/>
          <w:bCs/>
          <w:color w:val="2F2F34"/>
          <w:sz w:val="24"/>
          <w:szCs w:val="24"/>
        </w:rPr>
      </w:pPr>
      <w:r w:rsidRPr="5C9B80F5">
        <w:rPr>
          <w:rFonts w:ascii="Times New Roman" w:eastAsia="Times New Roman" w:hAnsi="Times New Roman" w:cs="Times New Roman"/>
          <w:b/>
          <w:bCs/>
          <w:sz w:val="24"/>
          <w:szCs w:val="24"/>
        </w:rPr>
        <w:t xml:space="preserve">East made great strides during the apex of the pandemic with its deployment of technology.  East plans to continue the momentum gained.  </w:t>
      </w:r>
      <w:r w:rsidRPr="5C9B80F5">
        <w:rPr>
          <w:rFonts w:ascii="Times New Roman" w:eastAsia="Times New Roman" w:hAnsi="Times New Roman" w:cs="Times New Roman"/>
          <w:b/>
          <w:bCs/>
          <w:sz w:val="24"/>
          <w:szCs w:val="24"/>
        </w:rPr>
        <w:lastRenderedPageBreak/>
        <w:t xml:space="preserve">DocuSign, especially, removed the barrier requiring individuals to be physically present for completion of “signature required” paperwork.  DocuSign’s “tracking” feature improved East’s connection to partners/clients/business community.  Premier Virtual provided the necessary venue to continue improvement in our connection with the business community and their personnel requirements.  Engage By Cell, as an outreach tool, was and is utilized to announce job fairs; AJC monthly calendar/special events, Mobile AJC schedule, notices for public comment, polling with Board members, employers, AJC partners, and key stakeholders in the ETLWDA.  East firmly believes our unique blending of various technologies sustained our enrollment/performance numbers throughout COVID.  East continuously seeks innovative technology to improve connections to partners across the workforce system.  </w:t>
      </w:r>
    </w:p>
    <w:p w14:paraId="49413906" w14:textId="77777777" w:rsidR="004B2CE8" w:rsidRPr="004B2CE8" w:rsidRDefault="004B2CE8" w:rsidP="3132D044">
      <w:pPr>
        <w:tabs>
          <w:tab w:val="left" w:pos="393"/>
        </w:tabs>
        <w:rPr>
          <w:rFonts w:ascii="Times New Roman" w:eastAsia="Times New Roman" w:hAnsi="Times New Roman" w:cs="Times New Roman"/>
          <w:sz w:val="24"/>
          <w:szCs w:val="24"/>
        </w:rPr>
      </w:pPr>
    </w:p>
    <w:p w14:paraId="2D442211" w14:textId="609342D3" w:rsidR="00A93921" w:rsidRPr="004B2CE8" w:rsidRDefault="5C9B80F5" w:rsidP="5C9B80F5">
      <w:pPr>
        <w:tabs>
          <w:tab w:val="left" w:pos="307"/>
        </w:tabs>
        <w:rPr>
          <w:rFonts w:ascii="Times New Roman" w:eastAsia="Times New Roman" w:hAnsi="Times New Roman" w:cs="Times New Roman"/>
          <w:i/>
          <w:iCs/>
          <w:color w:val="424146"/>
          <w:sz w:val="24"/>
          <w:szCs w:val="24"/>
        </w:rPr>
      </w:pPr>
      <w:r w:rsidRPr="5C9B80F5">
        <w:rPr>
          <w:rFonts w:ascii="Times New Roman" w:eastAsia="Times New Roman" w:hAnsi="Times New Roman" w:cs="Times New Roman"/>
          <w:b/>
          <w:bCs/>
          <w:sz w:val="24"/>
          <w:szCs w:val="24"/>
        </w:rPr>
        <w:t>2a.</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Describe how the Local Board will support the strategy identified in the TN Combined State Plan and work with entities carrying out core programs, including a description of:</w:t>
      </w:r>
    </w:p>
    <w:p w14:paraId="14A32D59" w14:textId="4A0C964E" w:rsidR="3132D044" w:rsidRDefault="00C9230F" w:rsidP="3132D044">
      <w:pPr>
        <w:tabs>
          <w:tab w:val="left" w:pos="307"/>
        </w:tabs>
        <w:jc w:val="both"/>
        <w:rPr>
          <w:rFonts w:ascii="Times New Roman" w:eastAsia="Times New Roman" w:hAnsi="Times New Roman" w:cs="Times New Roman"/>
          <w:b/>
          <w:bCs/>
          <w:color w:val="424146"/>
          <w:sz w:val="24"/>
          <w:szCs w:val="24"/>
        </w:rPr>
      </w:pPr>
      <w:r>
        <w:rPr>
          <w:rFonts w:ascii="Times New Roman" w:eastAsia="Times New Roman" w:hAnsi="Times New Roman" w:cs="Times New Roman"/>
          <w:b/>
          <w:bCs/>
          <w:sz w:val="24"/>
          <w:szCs w:val="24"/>
        </w:rPr>
        <w:t>T</w:t>
      </w:r>
      <w:r w:rsidR="3132D044" w:rsidRPr="3132D044">
        <w:rPr>
          <w:rFonts w:ascii="Times New Roman" w:eastAsia="Times New Roman" w:hAnsi="Times New Roman" w:cs="Times New Roman"/>
          <w:b/>
          <w:bCs/>
          <w:sz w:val="24"/>
          <w:szCs w:val="24"/>
        </w:rPr>
        <w:t xml:space="preserve">he TN Combined State Plan through its interpretation and implementation of findings from local needs assessments formulated by the Local Education Authorities within the sixteen County </w:t>
      </w:r>
      <w:r w:rsidRPr="3132D044">
        <w:rPr>
          <w:rFonts w:ascii="Times New Roman" w:eastAsia="Times New Roman" w:hAnsi="Times New Roman" w:cs="Times New Roman"/>
          <w:b/>
          <w:bCs/>
          <w:sz w:val="24"/>
          <w:szCs w:val="24"/>
        </w:rPr>
        <w:t>area</w:t>
      </w:r>
      <w:r>
        <w:rPr>
          <w:rFonts w:ascii="Times New Roman" w:eastAsia="Times New Roman" w:hAnsi="Times New Roman" w:cs="Times New Roman"/>
          <w:b/>
          <w:bCs/>
          <w:sz w:val="24"/>
          <w:szCs w:val="24"/>
        </w:rPr>
        <w:t xml:space="preserve"> guides the actions of the ETLWDA</w:t>
      </w:r>
      <w:r w:rsidR="3132D044" w:rsidRPr="3132D04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A vast array of community-based entities involved in quarterly partner meetings, support and supplement t</w:t>
      </w:r>
      <w:r w:rsidR="3132D044" w:rsidRPr="3132D044">
        <w:rPr>
          <w:rFonts w:ascii="Times New Roman" w:eastAsia="Times New Roman" w:hAnsi="Times New Roman" w:cs="Times New Roman"/>
          <w:b/>
          <w:bCs/>
          <w:sz w:val="24"/>
          <w:szCs w:val="24"/>
        </w:rPr>
        <w:t>he ETLWDA service delivery system</w:t>
      </w:r>
      <w:r>
        <w:rPr>
          <w:rFonts w:ascii="Times New Roman" w:eastAsia="Times New Roman" w:hAnsi="Times New Roman" w:cs="Times New Roman"/>
          <w:b/>
          <w:bCs/>
          <w:sz w:val="24"/>
          <w:szCs w:val="24"/>
        </w:rPr>
        <w:t xml:space="preserve">.  </w:t>
      </w:r>
      <w:r w:rsidR="3132D044" w:rsidRPr="3132D044">
        <w:rPr>
          <w:rFonts w:ascii="Times New Roman" w:eastAsia="Times New Roman" w:hAnsi="Times New Roman" w:cs="Times New Roman"/>
          <w:b/>
          <w:bCs/>
          <w:sz w:val="24"/>
          <w:szCs w:val="24"/>
        </w:rPr>
        <w:t xml:space="preserve">These Community-based organizations include but are not limited to Goodwill Industries, Clinch Powell, </w:t>
      </w:r>
      <w:proofErr w:type="spellStart"/>
      <w:r w:rsidR="3132D044" w:rsidRPr="3132D044">
        <w:rPr>
          <w:rFonts w:ascii="Times New Roman" w:eastAsia="Times New Roman" w:hAnsi="Times New Roman" w:cs="Times New Roman"/>
          <w:b/>
          <w:bCs/>
          <w:sz w:val="24"/>
          <w:szCs w:val="24"/>
        </w:rPr>
        <w:t>YouthBuild</w:t>
      </w:r>
      <w:proofErr w:type="spellEnd"/>
      <w:r w:rsidR="3132D044" w:rsidRPr="3132D044">
        <w:rPr>
          <w:rFonts w:ascii="Times New Roman" w:eastAsia="Times New Roman" w:hAnsi="Times New Roman" w:cs="Times New Roman"/>
          <w:b/>
          <w:bCs/>
          <w:sz w:val="24"/>
          <w:szCs w:val="24"/>
        </w:rPr>
        <w:t xml:space="preserve">, Knoxville Area Urban </w:t>
      </w:r>
      <w:r w:rsidR="00367907" w:rsidRPr="3132D044">
        <w:rPr>
          <w:rFonts w:ascii="Times New Roman" w:eastAsia="Times New Roman" w:hAnsi="Times New Roman" w:cs="Times New Roman"/>
          <w:b/>
          <w:bCs/>
          <w:sz w:val="24"/>
          <w:szCs w:val="24"/>
        </w:rPr>
        <w:t>League,</w:t>
      </w:r>
      <w:r w:rsidR="3132D044" w:rsidRPr="3132D044">
        <w:rPr>
          <w:rFonts w:ascii="Times New Roman" w:eastAsia="Times New Roman" w:hAnsi="Times New Roman" w:cs="Times New Roman"/>
          <w:b/>
          <w:bCs/>
          <w:sz w:val="24"/>
          <w:szCs w:val="24"/>
        </w:rPr>
        <w:t xml:space="preserve"> and the Knoxville-Knox County Community Action Committee.  </w:t>
      </w:r>
    </w:p>
    <w:p w14:paraId="29DBA6EA" w14:textId="77777777" w:rsidR="00031301" w:rsidRPr="004B2CE8" w:rsidRDefault="00031301" w:rsidP="3132D044">
      <w:pPr>
        <w:rPr>
          <w:rFonts w:ascii="Times New Roman" w:eastAsia="Times New Roman" w:hAnsi="Times New Roman" w:cs="Times New Roman"/>
          <w:sz w:val="24"/>
          <w:szCs w:val="24"/>
        </w:rPr>
      </w:pPr>
    </w:p>
    <w:p w14:paraId="6A9F3672" w14:textId="3598ABA1" w:rsidR="00A93921" w:rsidRPr="000C6D49" w:rsidRDefault="5C9B80F5" w:rsidP="5C9B80F5">
      <w:pPr>
        <w:tabs>
          <w:tab w:val="left" w:pos="393"/>
        </w:tabs>
        <w:jc w:val="both"/>
        <w:rPr>
          <w:rFonts w:ascii="Times New Roman" w:eastAsia="Times New Roman" w:hAnsi="Times New Roman" w:cs="Times New Roman"/>
          <w:i/>
          <w:iCs/>
          <w:color w:val="939195"/>
          <w:sz w:val="24"/>
          <w:szCs w:val="24"/>
        </w:rPr>
      </w:pPr>
      <w:r w:rsidRPr="5C9B80F5">
        <w:rPr>
          <w:rFonts w:ascii="Times New Roman" w:eastAsia="Times New Roman" w:hAnsi="Times New Roman" w:cs="Times New Roman"/>
          <w:b/>
          <w:bCs/>
          <w:sz w:val="24"/>
          <w:szCs w:val="24"/>
        </w:rPr>
        <w:t>2b.</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Expanding access to employment, training, education, and supportive services for eligible individuals, particularly eligible individuals with barriers to employment, including individuals with disabilities</w:t>
      </w:r>
    </w:p>
    <w:p w14:paraId="78F8B2A4" w14:textId="72C0B583" w:rsidR="000C6D49" w:rsidRPr="000C6D49" w:rsidRDefault="5C9B80F5" w:rsidP="5C9B80F5">
      <w:pPr>
        <w:jc w:val="both"/>
        <w:rPr>
          <w:rFonts w:ascii="Times New Roman" w:eastAsia="Times New Roman" w:hAnsi="Times New Roman" w:cs="Times New Roman"/>
          <w:b/>
          <w:bCs/>
          <w:color w:val="2F2F34"/>
          <w:sz w:val="24"/>
          <w:szCs w:val="24"/>
        </w:rPr>
      </w:pPr>
      <w:r w:rsidRPr="5C9B80F5">
        <w:rPr>
          <w:rFonts w:ascii="Times New Roman" w:eastAsia="Times New Roman" w:hAnsi="Times New Roman" w:cs="Times New Roman"/>
          <w:b/>
          <w:bCs/>
          <w:sz w:val="24"/>
          <w:szCs w:val="24"/>
        </w:rPr>
        <w:t xml:space="preserve">The OSO regularly convenes meetings with partners and other stakeholders </w:t>
      </w:r>
      <w:r w:rsidR="00C9230F">
        <w:rPr>
          <w:rFonts w:ascii="Times New Roman" w:eastAsia="Times New Roman" w:hAnsi="Times New Roman" w:cs="Times New Roman"/>
          <w:b/>
          <w:bCs/>
          <w:sz w:val="24"/>
          <w:szCs w:val="24"/>
        </w:rPr>
        <w:t>that</w:t>
      </w:r>
      <w:r w:rsidRPr="5C9B80F5">
        <w:rPr>
          <w:rFonts w:ascii="Times New Roman" w:eastAsia="Times New Roman" w:hAnsi="Times New Roman" w:cs="Times New Roman"/>
          <w:b/>
          <w:bCs/>
          <w:sz w:val="24"/>
          <w:szCs w:val="24"/>
        </w:rPr>
        <w:t xml:space="preserve"> </w:t>
      </w:r>
      <w:r w:rsidR="00367907">
        <w:rPr>
          <w:rFonts w:ascii="Times New Roman" w:eastAsia="Times New Roman" w:hAnsi="Times New Roman" w:cs="Times New Roman"/>
          <w:b/>
          <w:bCs/>
          <w:sz w:val="24"/>
          <w:szCs w:val="24"/>
        </w:rPr>
        <w:t>link</w:t>
      </w:r>
      <w:r w:rsidR="00C9230F">
        <w:rPr>
          <w:rFonts w:ascii="Times New Roman" w:eastAsia="Times New Roman" w:hAnsi="Times New Roman" w:cs="Times New Roman"/>
          <w:b/>
          <w:bCs/>
          <w:sz w:val="24"/>
          <w:szCs w:val="24"/>
        </w:rPr>
        <w:t>s</w:t>
      </w:r>
      <w:r w:rsidR="00367907">
        <w:rPr>
          <w:rFonts w:ascii="Times New Roman" w:eastAsia="Times New Roman" w:hAnsi="Times New Roman" w:cs="Times New Roman"/>
          <w:b/>
          <w:bCs/>
          <w:sz w:val="24"/>
          <w:szCs w:val="24"/>
        </w:rPr>
        <w:t xml:space="preserve"> </w:t>
      </w:r>
      <w:r w:rsidRPr="5C9B80F5">
        <w:rPr>
          <w:rFonts w:ascii="Times New Roman" w:eastAsia="Times New Roman" w:hAnsi="Times New Roman" w:cs="Times New Roman"/>
          <w:b/>
          <w:bCs/>
          <w:sz w:val="24"/>
          <w:szCs w:val="24"/>
        </w:rPr>
        <w:t>community</w:t>
      </w:r>
      <w:r w:rsidR="00367907">
        <w:rPr>
          <w:rFonts w:ascii="Times New Roman" w:eastAsia="Times New Roman" w:hAnsi="Times New Roman" w:cs="Times New Roman"/>
          <w:b/>
          <w:bCs/>
          <w:sz w:val="24"/>
          <w:szCs w:val="24"/>
        </w:rPr>
        <w:t xml:space="preserve"> </w:t>
      </w:r>
      <w:r w:rsidRPr="5C9B80F5">
        <w:rPr>
          <w:rFonts w:ascii="Times New Roman" w:eastAsia="Times New Roman" w:hAnsi="Times New Roman" w:cs="Times New Roman"/>
          <w:b/>
          <w:bCs/>
          <w:sz w:val="24"/>
          <w:szCs w:val="24"/>
        </w:rPr>
        <w:t xml:space="preserve">workforce development service providers to each other and to the local workforce service delivery network.  The development of stakeholder groups is integral in framing strategic solutions to serve targeted populations, especially those with barriers to employment including individuals with disabilities.  East has a robust partnership with stakeholder groups comprised of advocates for re-entry, </w:t>
      </w:r>
      <w:r w:rsidR="00367907" w:rsidRPr="5C9B80F5">
        <w:rPr>
          <w:rFonts w:ascii="Times New Roman" w:eastAsia="Times New Roman" w:hAnsi="Times New Roman" w:cs="Times New Roman"/>
          <w:b/>
          <w:bCs/>
          <w:sz w:val="24"/>
          <w:szCs w:val="24"/>
        </w:rPr>
        <w:t>immigrant,</w:t>
      </w:r>
      <w:r w:rsidRPr="5C9B80F5">
        <w:rPr>
          <w:rFonts w:ascii="Times New Roman" w:eastAsia="Times New Roman" w:hAnsi="Times New Roman" w:cs="Times New Roman"/>
          <w:b/>
          <w:bCs/>
          <w:sz w:val="24"/>
          <w:szCs w:val="24"/>
        </w:rPr>
        <w:t xml:space="preserve"> and refugee, homeless, disability and youth communities which contributes to is expanding reach. </w:t>
      </w:r>
      <w:r w:rsidR="00367907">
        <w:rPr>
          <w:rFonts w:ascii="Times New Roman" w:eastAsia="Times New Roman" w:hAnsi="Times New Roman" w:cs="Times New Roman"/>
          <w:b/>
          <w:bCs/>
          <w:sz w:val="24"/>
          <w:szCs w:val="24"/>
        </w:rPr>
        <w:t xml:space="preserve"> </w:t>
      </w:r>
      <w:r w:rsidRPr="5C9B80F5">
        <w:rPr>
          <w:rFonts w:ascii="Times New Roman" w:eastAsia="Times New Roman" w:hAnsi="Times New Roman" w:cs="Times New Roman"/>
          <w:b/>
          <w:bCs/>
          <w:sz w:val="24"/>
          <w:szCs w:val="24"/>
        </w:rPr>
        <w:t xml:space="preserve">East’s extensive list of access points expands the access and availability of employment, training, education, and supportive services for eligible individuals.  East continues to evaluate its network of access points and its placement of brick-and-mortar AJCs throughout the 16-county area to ensure the most coverage and awareness of services available to eligible individuals, particularly those with barriers to employment. East places heavy emphasis on the utilization of the Mobile AJC to provide on demand access in remote areas not covered by an access point or brick-and-mortar AJC. </w:t>
      </w:r>
    </w:p>
    <w:p w14:paraId="77EA27C0" w14:textId="77777777" w:rsidR="000C6D49" w:rsidRPr="000C6D49" w:rsidRDefault="000C6D49" w:rsidP="3132D044">
      <w:pPr>
        <w:tabs>
          <w:tab w:val="left" w:pos="393"/>
        </w:tabs>
        <w:rPr>
          <w:rFonts w:ascii="Times New Roman" w:eastAsia="Times New Roman" w:hAnsi="Times New Roman" w:cs="Times New Roman"/>
          <w:sz w:val="24"/>
          <w:szCs w:val="24"/>
        </w:rPr>
      </w:pPr>
    </w:p>
    <w:p w14:paraId="6D03D96C" w14:textId="17C47492" w:rsidR="00A93921" w:rsidRPr="000C6D49" w:rsidRDefault="5C9B80F5" w:rsidP="5C9B80F5">
      <w:pPr>
        <w:tabs>
          <w:tab w:val="left" w:pos="393"/>
        </w:tabs>
        <w:jc w:val="both"/>
        <w:rPr>
          <w:rFonts w:ascii="Times New Roman" w:eastAsia="Times New Roman" w:hAnsi="Times New Roman" w:cs="Times New Roman"/>
          <w:i/>
          <w:iCs/>
          <w:color w:val="939195"/>
          <w:sz w:val="24"/>
          <w:szCs w:val="24"/>
        </w:rPr>
      </w:pPr>
      <w:r w:rsidRPr="5C9B80F5">
        <w:rPr>
          <w:rFonts w:ascii="Times New Roman" w:eastAsia="Times New Roman" w:hAnsi="Times New Roman" w:cs="Times New Roman"/>
          <w:b/>
          <w:bCs/>
          <w:sz w:val="24"/>
          <w:szCs w:val="24"/>
        </w:rPr>
        <w:t>2c.</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Facilitating the development of career pathways and co-enrollment, as appropriate, in core programs and improving access to activities leading to a recognized post-secondary credential (including a credential that is an industry-recognized certificate or certification, portable, and stackable).</w:t>
      </w:r>
    </w:p>
    <w:p w14:paraId="0963A5F6" w14:textId="7B59E4F2" w:rsidR="3132D044" w:rsidRDefault="5C9B80F5" w:rsidP="5C9B80F5">
      <w:pPr>
        <w:jc w:val="both"/>
        <w:rPr>
          <w:rFonts w:ascii="Times New Roman" w:eastAsia="Times New Roman" w:hAnsi="Times New Roman" w:cs="Times New Roman"/>
          <w:b/>
          <w:bCs/>
          <w:color w:val="2F2F34"/>
          <w:sz w:val="24"/>
          <w:szCs w:val="24"/>
        </w:rPr>
      </w:pPr>
      <w:r w:rsidRPr="5C9B80F5">
        <w:rPr>
          <w:rFonts w:ascii="Times New Roman" w:eastAsia="Times New Roman" w:hAnsi="Times New Roman" w:cs="Times New Roman"/>
          <w:b/>
          <w:bCs/>
          <w:sz w:val="24"/>
          <w:szCs w:val="24"/>
        </w:rPr>
        <w:t xml:space="preserve">East facilitates monthly meetings between area TBOR/THEC entities within the service delivery area.  These monthly meetings in connection with Local Education Authority evaluations have resulted in pre-ETS initiatives in several counties (with availability to all) and a specialized AJC at the CTE campus of Union County.  The area WIOA Title II Adult Education contractor provides basic skills instruction leading to the successful completion of the equivalency diploma with a focus on co-enrollment, as appropriate, with Title I, in conjunction with CTE, for the successful development of career pathways leading to </w:t>
      </w:r>
      <w:r w:rsidR="00367907" w:rsidRPr="5C9B80F5">
        <w:rPr>
          <w:rFonts w:ascii="Times New Roman" w:eastAsia="Times New Roman" w:hAnsi="Times New Roman" w:cs="Times New Roman"/>
          <w:b/>
          <w:bCs/>
          <w:sz w:val="24"/>
          <w:szCs w:val="24"/>
        </w:rPr>
        <w:t>industry-recognized</w:t>
      </w:r>
      <w:r w:rsidRPr="5C9B80F5">
        <w:rPr>
          <w:rFonts w:ascii="Times New Roman" w:eastAsia="Times New Roman" w:hAnsi="Times New Roman" w:cs="Times New Roman"/>
          <w:b/>
          <w:bCs/>
          <w:sz w:val="24"/>
          <w:szCs w:val="24"/>
        </w:rPr>
        <w:t xml:space="preserve"> credentials.  East’s expansive utilization of Coursera and its skill development/skillsets expands the opportunities for development/enhancement of career pathways with industry recognized (Google, IBM, Microsoft, etc.,) partners. </w:t>
      </w:r>
    </w:p>
    <w:p w14:paraId="774A7A75" w14:textId="77777777" w:rsidR="00031301" w:rsidRPr="004B2CE8" w:rsidRDefault="00031301" w:rsidP="3132D044">
      <w:pPr>
        <w:tabs>
          <w:tab w:val="left" w:pos="393"/>
        </w:tabs>
        <w:rPr>
          <w:rFonts w:ascii="Times New Roman" w:eastAsia="Times New Roman" w:hAnsi="Times New Roman" w:cs="Times New Roman"/>
          <w:sz w:val="24"/>
          <w:szCs w:val="24"/>
        </w:rPr>
      </w:pPr>
    </w:p>
    <w:p w14:paraId="7F48C220" w14:textId="17DC760A" w:rsidR="00A93921" w:rsidRPr="000C6D49" w:rsidRDefault="5C9B80F5" w:rsidP="5C9B80F5">
      <w:pPr>
        <w:tabs>
          <w:tab w:val="left" w:pos="307"/>
        </w:tabs>
        <w:jc w:val="both"/>
        <w:rPr>
          <w:rFonts w:ascii="Times New Roman" w:eastAsia="Times New Roman" w:hAnsi="Times New Roman" w:cs="Times New Roman"/>
          <w:color w:val="131113"/>
          <w:sz w:val="24"/>
          <w:szCs w:val="24"/>
        </w:rPr>
      </w:pPr>
      <w:r w:rsidRPr="00312076">
        <w:rPr>
          <w:rFonts w:ascii="Times New Roman" w:eastAsia="Times New Roman" w:hAnsi="Times New Roman" w:cs="Times New Roman"/>
          <w:b/>
          <w:bCs/>
          <w:sz w:val="24"/>
          <w:szCs w:val="24"/>
        </w:rPr>
        <w:lastRenderedPageBreak/>
        <w:t>3a.</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Describe the employer engagement strategy to better connect business with well-trained and qualified applicants.</w:t>
      </w:r>
    </w:p>
    <w:p w14:paraId="29B73CF9" w14:textId="20281B36" w:rsidR="00A93921" w:rsidRPr="000C6D49" w:rsidRDefault="5C9B80F5" w:rsidP="5C9B80F5">
      <w:pPr>
        <w:tabs>
          <w:tab w:val="left" w:pos="307"/>
        </w:tabs>
        <w:spacing w:line="259" w:lineRule="auto"/>
        <w:jc w:val="both"/>
        <w:rPr>
          <w:rFonts w:ascii="Times New Roman" w:eastAsia="Times New Roman" w:hAnsi="Times New Roman" w:cs="Times New Roman"/>
          <w:i/>
          <w:iCs/>
          <w:color w:val="424146"/>
          <w:sz w:val="24"/>
          <w:szCs w:val="24"/>
        </w:rPr>
      </w:pPr>
      <w:r w:rsidRPr="5C9B80F5">
        <w:rPr>
          <w:rFonts w:ascii="Times New Roman" w:eastAsia="Times New Roman" w:hAnsi="Times New Roman" w:cs="Times New Roman"/>
          <w:b/>
          <w:bCs/>
          <w:sz w:val="24"/>
          <w:szCs w:val="24"/>
        </w:rPr>
        <w:t xml:space="preserve">To ensure that AJC customers remain competitive in the labor market, it is vital that ETLWDA and our partners understand the needs of </w:t>
      </w:r>
      <w:r w:rsidR="00384EEA">
        <w:rPr>
          <w:rFonts w:ascii="Times New Roman" w:eastAsia="Times New Roman" w:hAnsi="Times New Roman" w:cs="Times New Roman"/>
          <w:b/>
          <w:bCs/>
          <w:sz w:val="24"/>
          <w:szCs w:val="24"/>
        </w:rPr>
        <w:t xml:space="preserve">the local area’s </w:t>
      </w:r>
      <w:r w:rsidRPr="5C9B80F5">
        <w:rPr>
          <w:rFonts w:ascii="Times New Roman" w:eastAsia="Times New Roman" w:hAnsi="Times New Roman" w:cs="Times New Roman"/>
          <w:b/>
          <w:bCs/>
          <w:sz w:val="24"/>
          <w:szCs w:val="24"/>
        </w:rPr>
        <w:t xml:space="preserve">businesses and tailor the workforce system to address those needs.  ETLWDA </w:t>
      </w:r>
      <w:r w:rsidR="00384EEA">
        <w:rPr>
          <w:rFonts w:ascii="Times New Roman" w:eastAsia="Times New Roman" w:hAnsi="Times New Roman" w:cs="Times New Roman"/>
          <w:b/>
          <w:bCs/>
          <w:sz w:val="24"/>
          <w:szCs w:val="24"/>
        </w:rPr>
        <w:t>encourages</w:t>
      </w:r>
      <w:r w:rsidRPr="5C9B80F5">
        <w:rPr>
          <w:rFonts w:ascii="Times New Roman" w:eastAsia="Times New Roman" w:hAnsi="Times New Roman" w:cs="Times New Roman"/>
          <w:b/>
          <w:bCs/>
          <w:sz w:val="24"/>
          <w:szCs w:val="24"/>
        </w:rPr>
        <w:t xml:space="preserve"> businesses at every step in their lifecycle.  When a business is growing and hiring, we offer hiring assistance, funds for training new employees, customized recruitment, job fairs, qualified candidate referrals, resume screening, and business process improvements.  On the other hand, when a business is downsizing, we </w:t>
      </w:r>
      <w:r w:rsidR="00384EEA">
        <w:rPr>
          <w:rFonts w:ascii="Times New Roman" w:eastAsia="Times New Roman" w:hAnsi="Times New Roman" w:cs="Times New Roman"/>
          <w:b/>
          <w:bCs/>
          <w:sz w:val="24"/>
          <w:szCs w:val="24"/>
        </w:rPr>
        <w:t>attempt support</w:t>
      </w:r>
      <w:r w:rsidRPr="5C9B80F5">
        <w:rPr>
          <w:rFonts w:ascii="Times New Roman" w:eastAsia="Times New Roman" w:hAnsi="Times New Roman" w:cs="Times New Roman"/>
          <w:b/>
          <w:bCs/>
          <w:sz w:val="24"/>
          <w:szCs w:val="24"/>
        </w:rPr>
        <w:t xml:space="preserve"> to avert layoffs </w:t>
      </w:r>
      <w:r w:rsidR="00367907">
        <w:rPr>
          <w:rFonts w:ascii="Times New Roman" w:eastAsia="Times New Roman" w:hAnsi="Times New Roman" w:cs="Times New Roman"/>
          <w:b/>
          <w:bCs/>
          <w:sz w:val="24"/>
          <w:szCs w:val="24"/>
        </w:rPr>
        <w:t xml:space="preserve">and to help laid-off workers </w:t>
      </w:r>
      <w:r w:rsidRPr="5C9B80F5">
        <w:rPr>
          <w:rFonts w:ascii="Times New Roman" w:eastAsia="Times New Roman" w:hAnsi="Times New Roman" w:cs="Times New Roman"/>
          <w:b/>
          <w:bCs/>
          <w:sz w:val="24"/>
          <w:szCs w:val="24"/>
        </w:rPr>
        <w:t>quickly find new positions in similar sectors.  Utilizing the newest materials provided by the state (Quick Guide for Hiring Talent and the AJC Flyers Guide), East will ramp up outreach efforts by distributing these materials to community partners and by participating in events focused on priority populations within the 16-county area.  East will continue its use of technology</w:t>
      </w:r>
      <w:r w:rsidR="00384EEA">
        <w:rPr>
          <w:rFonts w:ascii="Times New Roman" w:eastAsia="Times New Roman" w:hAnsi="Times New Roman" w:cs="Times New Roman"/>
          <w:b/>
          <w:bCs/>
          <w:sz w:val="24"/>
          <w:szCs w:val="24"/>
        </w:rPr>
        <w:t xml:space="preserve">, the creation of a system shared, available to all partners and their </w:t>
      </w:r>
      <w:r w:rsidR="00F807CE">
        <w:rPr>
          <w:rFonts w:ascii="Times New Roman" w:eastAsia="Times New Roman" w:hAnsi="Times New Roman" w:cs="Times New Roman"/>
          <w:b/>
          <w:bCs/>
          <w:sz w:val="24"/>
          <w:szCs w:val="24"/>
        </w:rPr>
        <w:t xml:space="preserve">business engagement staff, </w:t>
      </w:r>
      <w:r w:rsidR="00384EEA">
        <w:rPr>
          <w:rFonts w:ascii="Times New Roman" w:eastAsia="Times New Roman" w:hAnsi="Times New Roman" w:cs="Times New Roman"/>
          <w:b/>
          <w:bCs/>
          <w:sz w:val="24"/>
          <w:szCs w:val="24"/>
        </w:rPr>
        <w:t xml:space="preserve">SharePoint document, </w:t>
      </w:r>
      <w:r w:rsidRPr="5C9B80F5">
        <w:rPr>
          <w:rFonts w:ascii="Times New Roman" w:eastAsia="Times New Roman" w:hAnsi="Times New Roman" w:cs="Times New Roman"/>
          <w:b/>
          <w:bCs/>
          <w:sz w:val="24"/>
          <w:szCs w:val="24"/>
        </w:rPr>
        <w:t xml:space="preserve">to further its penetration into the business community and target employers specific to our priority populations. </w:t>
      </w:r>
    </w:p>
    <w:p w14:paraId="0E10464B" w14:textId="2123D337" w:rsidR="00A93921" w:rsidRPr="000C6D49" w:rsidRDefault="00A93921" w:rsidP="5C9B80F5">
      <w:pPr>
        <w:tabs>
          <w:tab w:val="left" w:pos="307"/>
        </w:tabs>
        <w:spacing w:line="259" w:lineRule="auto"/>
        <w:rPr>
          <w:rFonts w:ascii="Times New Roman" w:eastAsia="Times New Roman" w:hAnsi="Times New Roman" w:cs="Times New Roman"/>
          <w:b/>
          <w:bCs/>
          <w:sz w:val="24"/>
          <w:szCs w:val="24"/>
        </w:rPr>
      </w:pPr>
    </w:p>
    <w:p w14:paraId="09B74236" w14:textId="484DF340" w:rsidR="00A93921" w:rsidRPr="000C6D49" w:rsidRDefault="5C9B80F5" w:rsidP="5C9B80F5">
      <w:pPr>
        <w:tabs>
          <w:tab w:val="left" w:pos="307"/>
        </w:tabs>
        <w:spacing w:line="259" w:lineRule="auto"/>
        <w:jc w:val="both"/>
        <w:rPr>
          <w:rFonts w:ascii="Times New Roman" w:eastAsia="Times New Roman" w:hAnsi="Times New Roman" w:cs="Times New Roman"/>
          <w:i/>
          <w:iCs/>
          <w:color w:val="424146"/>
          <w:sz w:val="24"/>
          <w:szCs w:val="24"/>
        </w:rPr>
      </w:pPr>
      <w:r w:rsidRPr="5C9B80F5">
        <w:rPr>
          <w:rFonts w:ascii="Times New Roman" w:eastAsia="Times New Roman" w:hAnsi="Times New Roman" w:cs="Times New Roman"/>
          <w:b/>
          <w:bCs/>
          <w:sz w:val="24"/>
          <w:szCs w:val="24"/>
        </w:rPr>
        <w:t>3b.</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 xml:space="preserve">Provide a description of how the LWDB will implement initiatives such as apprenticeships, incumbent worker training programs, on-the-job training programs, customized training programs, industry and sector strategies, career pathways initiatives.  </w:t>
      </w:r>
    </w:p>
    <w:p w14:paraId="6DBB5FE8" w14:textId="29EBA5C2" w:rsidR="3132D044" w:rsidRDefault="5C9B80F5" w:rsidP="5C9B80F5">
      <w:pPr>
        <w:jc w:val="both"/>
        <w:rPr>
          <w:rFonts w:ascii="Times New Roman" w:eastAsia="Times New Roman" w:hAnsi="Times New Roman" w:cs="Times New Roman"/>
          <w:b/>
          <w:bCs/>
          <w:color w:val="2F2F34"/>
          <w:sz w:val="24"/>
          <w:szCs w:val="24"/>
        </w:rPr>
      </w:pPr>
      <w:r w:rsidRPr="5C9B80F5">
        <w:rPr>
          <w:rFonts w:ascii="Times New Roman" w:eastAsia="Times New Roman" w:hAnsi="Times New Roman" w:cs="Times New Roman"/>
          <w:b/>
          <w:bCs/>
          <w:sz w:val="24"/>
          <w:szCs w:val="24"/>
        </w:rPr>
        <w:t>The One-Stop Operator facilitates employer engagement of all partners through an Integrated Business Service Team approach.  While the OSO schedules monthly Business Service meetings to provide a structured environment for sharing information, they also provide notice of employer related information such as new job orders, upcoming job fairs, and on-the-job training opportunities throughout the AJC. While many employers seek out services and are greeted by knowledgeable staff via the phone or in person, many do not.  With the multitude of technology options available today, we are reaching many employers through social media and websites, including the TN Department of Labor - Employer Service portal.</w:t>
      </w:r>
      <w:r w:rsidR="00F807CE">
        <w:rPr>
          <w:rFonts w:ascii="Times New Roman" w:eastAsia="Times New Roman" w:hAnsi="Times New Roman" w:cs="Times New Roman"/>
          <w:b/>
          <w:bCs/>
          <w:sz w:val="24"/>
          <w:szCs w:val="24"/>
        </w:rPr>
        <w:t xml:space="preserve">  </w:t>
      </w:r>
      <w:r w:rsidRPr="5C9B80F5">
        <w:rPr>
          <w:rFonts w:ascii="Times New Roman" w:eastAsia="Times New Roman" w:hAnsi="Times New Roman" w:cs="Times New Roman"/>
          <w:b/>
          <w:bCs/>
          <w:sz w:val="24"/>
          <w:szCs w:val="24"/>
        </w:rPr>
        <w:t xml:space="preserve">Business Service staff from the local areas are meeting quarterly and working together to assure that employers throughout the region are familiar with the AJC and its services. Armed with the latest Employer Engagement toolkit, made available by the state, the BST provides information and engages the employer community regarding Jobs4TN, OJTs, IWTs, apprenticeships, and job fairs.  Relevant labor market information including industry competition/commuting patterns, special projects such as jail programs and sector strategies comprise the information readily available to the BST. </w:t>
      </w:r>
      <w:r w:rsidRPr="5C9B80F5">
        <w:rPr>
          <w:rFonts w:ascii="Times New Roman" w:eastAsia="Times New Roman" w:hAnsi="Times New Roman" w:cs="Times New Roman"/>
          <w:sz w:val="24"/>
          <w:szCs w:val="24"/>
        </w:rPr>
        <w:t xml:space="preserve"> </w:t>
      </w:r>
    </w:p>
    <w:p w14:paraId="17C00546" w14:textId="6639B5A7" w:rsidR="3132D044" w:rsidRDefault="3132D044" w:rsidP="5C9B80F5">
      <w:pPr>
        <w:tabs>
          <w:tab w:val="left" w:pos="394"/>
        </w:tabs>
        <w:rPr>
          <w:rFonts w:ascii="Times New Roman" w:eastAsia="Times New Roman" w:hAnsi="Times New Roman" w:cs="Times New Roman"/>
          <w:sz w:val="24"/>
          <w:szCs w:val="24"/>
          <w:highlight w:val="yellow"/>
        </w:rPr>
      </w:pPr>
    </w:p>
    <w:p w14:paraId="776C78AD" w14:textId="4245B4EE" w:rsidR="00A93921" w:rsidRPr="000C6D49" w:rsidRDefault="5C9B80F5" w:rsidP="5C9B80F5">
      <w:pPr>
        <w:tabs>
          <w:tab w:val="left" w:pos="394"/>
        </w:tabs>
        <w:jc w:val="both"/>
        <w:rPr>
          <w:rFonts w:ascii="Times New Roman" w:eastAsia="Times New Roman" w:hAnsi="Times New Roman" w:cs="Times New Roman"/>
          <w:i/>
          <w:iCs/>
          <w:color w:val="424146"/>
          <w:sz w:val="24"/>
          <w:szCs w:val="24"/>
        </w:rPr>
      </w:pPr>
      <w:r w:rsidRPr="00312076">
        <w:rPr>
          <w:rFonts w:ascii="Times New Roman" w:eastAsia="Times New Roman" w:hAnsi="Times New Roman" w:cs="Times New Roman"/>
          <w:b/>
          <w:bCs/>
          <w:sz w:val="24"/>
          <w:szCs w:val="24"/>
        </w:rPr>
        <w:t>3c.</w:t>
      </w:r>
      <w:r w:rsidRPr="5C9B80F5">
        <w:rPr>
          <w:rFonts w:ascii="Times New Roman" w:eastAsia="Times New Roman" w:hAnsi="Times New Roman" w:cs="Times New Roman"/>
          <w:b/>
          <w:bCs/>
          <w:sz w:val="24"/>
          <w:szCs w:val="24"/>
        </w:rPr>
        <w:t xml:space="preserve"> </w:t>
      </w:r>
      <w:r w:rsidRPr="5C9B80F5">
        <w:rPr>
          <w:rFonts w:ascii="Times New Roman" w:eastAsia="Times New Roman" w:hAnsi="Times New Roman" w:cs="Times New Roman"/>
          <w:i/>
          <w:iCs/>
          <w:sz w:val="24"/>
          <w:szCs w:val="24"/>
        </w:rPr>
        <w:t>Include the utilization of effective business intermediaries, and other business services and strategies designed to meet the needs of employers in the corresponding region in support of the business service strategy.</w:t>
      </w:r>
    </w:p>
    <w:p w14:paraId="3615142C" w14:textId="715922ED" w:rsidR="5C9B80F5" w:rsidRDefault="5C9B80F5" w:rsidP="5C9B80F5">
      <w:pPr>
        <w:tabs>
          <w:tab w:val="left" w:pos="307"/>
        </w:tabs>
        <w:spacing w:line="259" w:lineRule="auto"/>
        <w:jc w:val="both"/>
        <w:rPr>
          <w:rFonts w:ascii="Times New Roman" w:eastAsia="Times New Roman" w:hAnsi="Times New Roman" w:cs="Times New Roman"/>
          <w:color w:val="FF0000"/>
          <w:sz w:val="24"/>
          <w:szCs w:val="24"/>
        </w:rPr>
      </w:pPr>
      <w:r w:rsidRPr="5C9B80F5">
        <w:rPr>
          <w:rFonts w:ascii="Times New Roman" w:eastAsia="Times New Roman" w:hAnsi="Times New Roman" w:cs="Times New Roman"/>
          <w:b/>
          <w:bCs/>
          <w:color w:val="000000" w:themeColor="text1"/>
          <w:sz w:val="24"/>
          <w:szCs w:val="24"/>
        </w:rPr>
        <w:t xml:space="preserve">Strategically focused collaboration between existing partners (Title I, II, III, IV, SNAP E&amp;T, TANF, Chambers of Commerce, State and Local ECD) will improve the overall reach of the AJC system. Understanding the strategy of transferrable skills, ensuring individuals are recognized by employers as qualified/trained are important aspects to a “Work First” strategy.  </w:t>
      </w:r>
      <w:r w:rsidRPr="5C9B80F5">
        <w:rPr>
          <w:rFonts w:ascii="Times New Roman" w:eastAsia="Times New Roman" w:hAnsi="Times New Roman" w:cs="Times New Roman"/>
          <w:b/>
          <w:bCs/>
          <w:sz w:val="24"/>
          <w:szCs w:val="24"/>
        </w:rPr>
        <w:t xml:space="preserve">Inspired by tracking documents used by JVSG, East will implement a shared document to track employer/business engagement across all partners of the AJC system, independent of permission levels within VOS.  All partners will </w:t>
      </w:r>
      <w:r w:rsidR="00F807CE">
        <w:rPr>
          <w:rFonts w:ascii="Times New Roman" w:eastAsia="Times New Roman" w:hAnsi="Times New Roman" w:cs="Times New Roman"/>
          <w:b/>
          <w:bCs/>
          <w:sz w:val="24"/>
          <w:szCs w:val="24"/>
        </w:rPr>
        <w:t xml:space="preserve">have access to the SharePoint document and become </w:t>
      </w:r>
      <w:r w:rsidRPr="5C9B80F5">
        <w:rPr>
          <w:rFonts w:ascii="Times New Roman" w:eastAsia="Times New Roman" w:hAnsi="Times New Roman" w:cs="Times New Roman"/>
          <w:b/>
          <w:bCs/>
          <w:sz w:val="24"/>
          <w:szCs w:val="24"/>
        </w:rPr>
        <w:t xml:space="preserve">members of the Business Service Team, focus will be uniform and unduplicated within the system, and a point person or team will conduct actual contact with the employer. </w:t>
      </w:r>
      <w:r w:rsidRPr="5C9B80F5">
        <w:rPr>
          <w:b/>
          <w:bCs/>
          <w:sz w:val="24"/>
          <w:szCs w:val="24"/>
        </w:rPr>
        <w:t xml:space="preserve"> </w:t>
      </w:r>
      <w:r w:rsidRPr="5C9B80F5">
        <w:rPr>
          <w:rFonts w:ascii="Times New Roman" w:eastAsia="Times New Roman" w:hAnsi="Times New Roman" w:cs="Times New Roman"/>
          <w:b/>
          <w:bCs/>
          <w:sz w:val="24"/>
          <w:szCs w:val="24"/>
        </w:rPr>
        <w:t xml:space="preserve">Existing partnerships with Board Members, SCSEP and Work Experience employers, ECD, and Career Technical Education partners will be strengthened and used as a </w:t>
      </w:r>
      <w:r w:rsidR="005611B5">
        <w:rPr>
          <w:rFonts w:ascii="Times New Roman" w:eastAsia="Times New Roman" w:hAnsi="Times New Roman" w:cs="Times New Roman"/>
          <w:b/>
          <w:bCs/>
          <w:sz w:val="24"/>
          <w:szCs w:val="24"/>
        </w:rPr>
        <w:t>l</w:t>
      </w:r>
      <w:r w:rsidR="005611B5" w:rsidRPr="5C9B80F5">
        <w:rPr>
          <w:rFonts w:ascii="Times New Roman" w:eastAsia="Times New Roman" w:hAnsi="Times New Roman" w:cs="Times New Roman"/>
          <w:b/>
          <w:bCs/>
          <w:sz w:val="24"/>
          <w:szCs w:val="24"/>
        </w:rPr>
        <w:t>aunch pad</w:t>
      </w:r>
      <w:r w:rsidRPr="5C9B80F5">
        <w:rPr>
          <w:rFonts w:ascii="Times New Roman" w:eastAsia="Times New Roman" w:hAnsi="Times New Roman" w:cs="Times New Roman"/>
          <w:b/>
          <w:bCs/>
          <w:sz w:val="24"/>
          <w:szCs w:val="24"/>
        </w:rPr>
        <w:t xml:space="preserve"> for furthering business engagement/penetration.</w:t>
      </w:r>
      <w:r w:rsidRPr="5C9B80F5">
        <w:rPr>
          <w:b/>
          <w:bCs/>
          <w:sz w:val="24"/>
          <w:szCs w:val="24"/>
        </w:rPr>
        <w:t xml:space="preserve">  </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color w:val="FF0000"/>
          <w:sz w:val="24"/>
          <w:szCs w:val="24"/>
        </w:rPr>
        <w:t xml:space="preserve">                                                                                                                                </w:t>
      </w:r>
    </w:p>
    <w:p w14:paraId="6F4B7EF6" w14:textId="7873BF37" w:rsidR="5C9B80F5" w:rsidRDefault="5C9B80F5" w:rsidP="5C9B80F5">
      <w:pPr>
        <w:tabs>
          <w:tab w:val="left" w:pos="394"/>
        </w:tabs>
        <w:rPr>
          <w:b/>
          <w:bCs/>
          <w:color w:val="000000" w:themeColor="text1"/>
          <w:sz w:val="24"/>
          <w:szCs w:val="24"/>
        </w:rPr>
      </w:pPr>
    </w:p>
    <w:p w14:paraId="20AA2F78" w14:textId="77777777" w:rsidR="000C6D49" w:rsidRPr="004B2CE8" w:rsidRDefault="000C6D49" w:rsidP="3132D044">
      <w:pPr>
        <w:tabs>
          <w:tab w:val="left" w:pos="394"/>
        </w:tabs>
        <w:rPr>
          <w:rFonts w:ascii="Times New Roman" w:eastAsia="Times New Roman" w:hAnsi="Times New Roman" w:cs="Times New Roman"/>
          <w:sz w:val="24"/>
          <w:szCs w:val="24"/>
        </w:rPr>
      </w:pPr>
    </w:p>
    <w:p w14:paraId="3BEBCDAF" w14:textId="4A94FBC6" w:rsidR="00A93921" w:rsidRPr="000C6D49" w:rsidRDefault="5C9B80F5" w:rsidP="5C9B80F5">
      <w:pPr>
        <w:tabs>
          <w:tab w:val="left" w:pos="386"/>
        </w:tabs>
        <w:jc w:val="both"/>
        <w:rPr>
          <w:rFonts w:ascii="Times New Roman" w:eastAsia="Times New Roman" w:hAnsi="Times New Roman" w:cs="Times New Roman"/>
          <w:i/>
          <w:iCs/>
          <w:color w:val="939195"/>
          <w:sz w:val="24"/>
          <w:szCs w:val="24"/>
        </w:rPr>
      </w:pPr>
      <w:r w:rsidRPr="5C9B80F5">
        <w:rPr>
          <w:rFonts w:ascii="Times New Roman" w:eastAsia="Times New Roman" w:hAnsi="Times New Roman" w:cs="Times New Roman"/>
          <w:sz w:val="24"/>
          <w:szCs w:val="24"/>
        </w:rPr>
        <w:lastRenderedPageBreak/>
        <w:t xml:space="preserve"> </w:t>
      </w:r>
      <w:r w:rsidRPr="5C9B80F5">
        <w:rPr>
          <w:rFonts w:ascii="Times New Roman" w:eastAsia="Times New Roman" w:hAnsi="Times New Roman" w:cs="Times New Roman"/>
          <w:b/>
          <w:bCs/>
          <w:sz w:val="24"/>
          <w:szCs w:val="24"/>
        </w:rPr>
        <w:t>3d.</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How will you measure the effectiveness of the strategy outside of mandated business performance measures?  Include information to support the increase of Labor Force Participation Rates.</w:t>
      </w:r>
    </w:p>
    <w:p w14:paraId="1DB8DF9F" w14:textId="3AEC4632" w:rsidR="3132D044" w:rsidRDefault="5C9B80F5" w:rsidP="5C9B80F5">
      <w:pPr>
        <w:tabs>
          <w:tab w:val="left" w:pos="394"/>
        </w:tabs>
        <w:jc w:val="both"/>
        <w:rPr>
          <w:rFonts w:ascii="Times New Roman" w:eastAsia="Times New Roman" w:hAnsi="Times New Roman" w:cs="Times New Roman"/>
          <w:b/>
          <w:bCs/>
          <w:color w:val="FF0000"/>
          <w:sz w:val="24"/>
          <w:szCs w:val="24"/>
        </w:rPr>
      </w:pPr>
      <w:r w:rsidRPr="5C9B80F5">
        <w:rPr>
          <w:rFonts w:ascii="Times New Roman" w:eastAsia="Times New Roman" w:hAnsi="Times New Roman" w:cs="Times New Roman"/>
          <w:b/>
          <w:bCs/>
          <w:sz w:val="24"/>
          <w:szCs w:val="24"/>
        </w:rPr>
        <w:t xml:space="preserve">The ETLWDB has been very vocal on its understanding of the Labor Force Participation Rate.  Several of the business community representatives on the Board related common problems regarding the available applicant pool and the apathy demonstrated by many of the individuals </w:t>
      </w:r>
      <w:r w:rsidR="00E559C6">
        <w:rPr>
          <w:rFonts w:ascii="Times New Roman" w:eastAsia="Times New Roman" w:hAnsi="Times New Roman" w:cs="Times New Roman"/>
          <w:b/>
          <w:bCs/>
          <w:sz w:val="24"/>
          <w:szCs w:val="24"/>
        </w:rPr>
        <w:t>that</w:t>
      </w:r>
      <w:r w:rsidRPr="5C9B80F5">
        <w:rPr>
          <w:rFonts w:ascii="Times New Roman" w:eastAsia="Times New Roman" w:hAnsi="Times New Roman" w:cs="Times New Roman"/>
          <w:b/>
          <w:bCs/>
          <w:sz w:val="24"/>
          <w:szCs w:val="24"/>
        </w:rPr>
        <w:t xml:space="preserve"> were interviewed.  These discussions were an impetus to East’s launch of “Work First”.  “Work First” is a bold stride towards increasing the Labor Force Participation Rate in East.  Coupled with our focus on Justice Involved, Vocational Rehabilitation, and others with significant barriers to employment, </w:t>
      </w:r>
      <w:bookmarkStart w:id="1" w:name="_Int_agRMzfX7"/>
      <w:r w:rsidRPr="5C9B80F5">
        <w:rPr>
          <w:rFonts w:ascii="Times New Roman" w:eastAsia="Times New Roman" w:hAnsi="Times New Roman" w:cs="Times New Roman"/>
          <w:b/>
          <w:bCs/>
          <w:sz w:val="24"/>
          <w:szCs w:val="24"/>
        </w:rPr>
        <w:t>East</w:t>
      </w:r>
      <w:bookmarkEnd w:id="1"/>
      <w:r w:rsidRPr="5C9B80F5">
        <w:rPr>
          <w:rFonts w:ascii="Times New Roman" w:eastAsia="Times New Roman" w:hAnsi="Times New Roman" w:cs="Times New Roman"/>
          <w:b/>
          <w:bCs/>
          <w:sz w:val="24"/>
          <w:szCs w:val="24"/>
        </w:rPr>
        <w:t xml:space="preserve"> should realize a significant improvement in its Labor Force Participation Rates.  East will utilize the reporting function within Jobs4TN as a basis for perfor</w:t>
      </w:r>
      <w:r w:rsidR="00E559C6">
        <w:rPr>
          <w:rFonts w:ascii="Times New Roman" w:eastAsia="Times New Roman" w:hAnsi="Times New Roman" w:cs="Times New Roman"/>
          <w:b/>
          <w:bCs/>
          <w:sz w:val="24"/>
          <w:szCs w:val="24"/>
        </w:rPr>
        <w:t>mance measurement.  East will focus</w:t>
      </w:r>
      <w:r w:rsidRPr="5C9B80F5">
        <w:rPr>
          <w:rFonts w:ascii="Times New Roman" w:eastAsia="Times New Roman" w:hAnsi="Times New Roman" w:cs="Times New Roman"/>
          <w:b/>
          <w:bCs/>
          <w:sz w:val="24"/>
          <w:szCs w:val="24"/>
        </w:rPr>
        <w:t xml:space="preserve"> on “Outcomes” within the business community: measured by employer feedback.  </w:t>
      </w:r>
      <w:r w:rsidR="00F807CE">
        <w:rPr>
          <w:rFonts w:ascii="Times New Roman" w:eastAsia="Times New Roman" w:hAnsi="Times New Roman" w:cs="Times New Roman"/>
          <w:b/>
          <w:bCs/>
          <w:sz w:val="24"/>
          <w:szCs w:val="24"/>
        </w:rPr>
        <w:t>The SharePoint document will track these “Outcomes” within the business community</w:t>
      </w:r>
      <w:r w:rsidR="00111AAD">
        <w:rPr>
          <w:rFonts w:ascii="Times New Roman" w:eastAsia="Times New Roman" w:hAnsi="Times New Roman" w:cs="Times New Roman"/>
          <w:b/>
          <w:bCs/>
          <w:sz w:val="24"/>
          <w:szCs w:val="24"/>
        </w:rPr>
        <w:t xml:space="preserve">, allow for unduplicated focused contact, tracking, and reporting. </w:t>
      </w:r>
    </w:p>
    <w:p w14:paraId="20F13356" w14:textId="37A78D09" w:rsidR="3132D044" w:rsidRDefault="3132D044" w:rsidP="5C9B80F5">
      <w:pPr>
        <w:jc w:val="both"/>
        <w:rPr>
          <w:rFonts w:ascii="Times New Roman" w:eastAsia="Times New Roman" w:hAnsi="Times New Roman" w:cs="Times New Roman"/>
          <w:sz w:val="24"/>
          <w:szCs w:val="24"/>
        </w:rPr>
      </w:pPr>
    </w:p>
    <w:p w14:paraId="1D7E5963" w14:textId="526406F5" w:rsidR="00031301" w:rsidRPr="000C6D49" w:rsidRDefault="5C9B80F5" w:rsidP="5C9B80F5">
      <w:pPr>
        <w:tabs>
          <w:tab w:val="left" w:pos="297"/>
        </w:tabs>
        <w:jc w:val="both"/>
        <w:rPr>
          <w:rFonts w:ascii="Times New Roman" w:eastAsia="Times New Roman" w:hAnsi="Times New Roman" w:cs="Times New Roman"/>
          <w:i/>
          <w:iCs/>
          <w:color w:val="545259"/>
          <w:sz w:val="24"/>
          <w:szCs w:val="24"/>
        </w:rPr>
      </w:pPr>
      <w:r w:rsidRPr="5C9B80F5">
        <w:rPr>
          <w:rFonts w:ascii="Times New Roman" w:eastAsia="Times New Roman" w:hAnsi="Times New Roman" w:cs="Times New Roman"/>
          <w:b/>
          <w:bCs/>
          <w:sz w:val="24"/>
          <w:szCs w:val="24"/>
        </w:rPr>
        <w:t xml:space="preserve">4a. </w:t>
      </w:r>
      <w:r w:rsidRPr="5C9B80F5">
        <w:rPr>
          <w:rFonts w:ascii="Times New Roman" w:eastAsia="Times New Roman" w:hAnsi="Times New Roman" w:cs="Times New Roman"/>
          <w:i/>
          <w:iCs/>
          <w:sz w:val="24"/>
          <w:szCs w:val="24"/>
        </w:rPr>
        <w:t>In relation to the Governor's key priorities, provide an overview of current and/or new strategies being implemented by your Local Workforce Development Board (LWDB) to ensure workforce partners collaborate on:</w:t>
      </w:r>
    </w:p>
    <w:p w14:paraId="324FFD8E" w14:textId="38DF761C" w:rsidR="00031301" w:rsidRDefault="5C9B80F5" w:rsidP="00E559C6">
      <w:pPr>
        <w:tabs>
          <w:tab w:val="left" w:pos="297"/>
        </w:tabs>
        <w:jc w:val="both"/>
        <w:rPr>
          <w:rFonts w:ascii="Times New Roman" w:hAnsi="Times New Roman" w:cs="Times New Roman"/>
          <w:b/>
          <w:sz w:val="24"/>
          <w:szCs w:val="24"/>
        </w:rPr>
      </w:pPr>
      <w:r w:rsidRPr="5C9B80F5">
        <w:rPr>
          <w:rFonts w:ascii="Times New Roman" w:eastAsia="Times New Roman" w:hAnsi="Times New Roman" w:cs="Times New Roman"/>
          <w:b/>
          <w:bCs/>
          <w:sz w:val="24"/>
          <w:szCs w:val="24"/>
        </w:rPr>
        <w:t xml:space="preserve">All partners in the workforce delivery system understand the current </w:t>
      </w:r>
      <w:r w:rsidR="00E559C6">
        <w:rPr>
          <w:rFonts w:ascii="Times New Roman" w:eastAsia="Times New Roman" w:hAnsi="Times New Roman" w:cs="Times New Roman"/>
          <w:b/>
          <w:bCs/>
          <w:sz w:val="24"/>
          <w:szCs w:val="24"/>
        </w:rPr>
        <w:t>shortage of qualified workers,</w:t>
      </w:r>
      <w:r w:rsidRPr="5C9B80F5">
        <w:rPr>
          <w:rFonts w:ascii="Times New Roman" w:eastAsia="Times New Roman" w:hAnsi="Times New Roman" w:cs="Times New Roman"/>
          <w:b/>
          <w:bCs/>
          <w:sz w:val="24"/>
          <w:szCs w:val="24"/>
        </w:rPr>
        <w:t xml:space="preserve"> </w:t>
      </w:r>
      <w:r w:rsidR="00D33F31">
        <w:rPr>
          <w:rFonts w:ascii="Times New Roman" w:eastAsia="Times New Roman" w:hAnsi="Times New Roman" w:cs="Times New Roman"/>
          <w:b/>
          <w:bCs/>
          <w:sz w:val="24"/>
          <w:szCs w:val="24"/>
        </w:rPr>
        <w:t>embraced</w:t>
      </w:r>
      <w:r w:rsidRPr="5C9B80F5">
        <w:rPr>
          <w:rFonts w:ascii="Times New Roman" w:eastAsia="Times New Roman" w:hAnsi="Times New Roman" w:cs="Times New Roman"/>
          <w:b/>
          <w:bCs/>
          <w:sz w:val="24"/>
          <w:szCs w:val="24"/>
        </w:rPr>
        <w:t xml:space="preserve"> the ETLWDB’s view/understanding of the need for re-e</w:t>
      </w:r>
      <w:r w:rsidR="00E559C6">
        <w:rPr>
          <w:rFonts w:ascii="Times New Roman" w:eastAsia="Times New Roman" w:hAnsi="Times New Roman" w:cs="Times New Roman"/>
          <w:b/>
          <w:bCs/>
          <w:sz w:val="24"/>
          <w:szCs w:val="24"/>
        </w:rPr>
        <w:t xml:space="preserve">valuation of current practices, and </w:t>
      </w:r>
      <w:r w:rsidRPr="5C9B80F5">
        <w:rPr>
          <w:rFonts w:ascii="Times New Roman" w:eastAsia="Times New Roman" w:hAnsi="Times New Roman" w:cs="Times New Roman"/>
          <w:b/>
          <w:bCs/>
          <w:sz w:val="24"/>
          <w:szCs w:val="24"/>
        </w:rPr>
        <w:t>have endorsed “Work First” as a system strategy</w:t>
      </w:r>
      <w:r w:rsidRPr="00E559C6">
        <w:rPr>
          <w:rFonts w:ascii="Times New Roman" w:eastAsia="Times New Roman" w:hAnsi="Times New Roman" w:cs="Times New Roman"/>
          <w:b/>
          <w:bCs/>
          <w:sz w:val="24"/>
          <w:szCs w:val="24"/>
        </w:rPr>
        <w:t>.</w:t>
      </w:r>
      <w:r w:rsidRPr="00E559C6">
        <w:rPr>
          <w:rFonts w:ascii="Times New Roman" w:eastAsia="Times New Roman" w:hAnsi="Times New Roman" w:cs="Times New Roman"/>
          <w:b/>
          <w:sz w:val="24"/>
          <w:szCs w:val="24"/>
        </w:rPr>
        <w:t xml:space="preserve"> </w:t>
      </w:r>
      <w:r w:rsidRPr="00E559C6">
        <w:rPr>
          <w:rFonts w:ascii="Times New Roman" w:hAnsi="Times New Roman" w:cs="Times New Roman"/>
          <w:b/>
          <w:sz w:val="24"/>
          <w:szCs w:val="24"/>
        </w:rPr>
        <w:t xml:space="preserve"> </w:t>
      </w:r>
      <w:r w:rsidR="00D33F31">
        <w:rPr>
          <w:rFonts w:ascii="Times New Roman" w:hAnsi="Times New Roman" w:cs="Times New Roman"/>
          <w:b/>
          <w:sz w:val="24"/>
          <w:szCs w:val="24"/>
        </w:rPr>
        <w:t xml:space="preserve">The ETLWDB is </w:t>
      </w:r>
      <w:r w:rsidR="00E559C6">
        <w:rPr>
          <w:rFonts w:ascii="Times New Roman" w:hAnsi="Times New Roman" w:cs="Times New Roman"/>
          <w:b/>
          <w:sz w:val="24"/>
          <w:szCs w:val="24"/>
        </w:rPr>
        <w:t>revis</w:t>
      </w:r>
      <w:r w:rsidR="00D33F31">
        <w:rPr>
          <w:rFonts w:ascii="Times New Roman" w:hAnsi="Times New Roman" w:cs="Times New Roman"/>
          <w:b/>
          <w:sz w:val="24"/>
          <w:szCs w:val="24"/>
        </w:rPr>
        <w:t>ing its</w:t>
      </w:r>
      <w:r w:rsidR="00E559C6">
        <w:rPr>
          <w:rFonts w:ascii="Times New Roman" w:hAnsi="Times New Roman" w:cs="Times New Roman"/>
          <w:b/>
          <w:sz w:val="24"/>
          <w:szCs w:val="24"/>
        </w:rPr>
        <w:t xml:space="preserve"> </w:t>
      </w:r>
      <w:r w:rsidRPr="00E559C6">
        <w:rPr>
          <w:rFonts w:ascii="Times New Roman" w:hAnsi="Times New Roman" w:cs="Times New Roman"/>
          <w:b/>
          <w:sz w:val="24"/>
          <w:szCs w:val="24"/>
        </w:rPr>
        <w:t>S</w:t>
      </w:r>
      <w:r w:rsidR="00E559C6" w:rsidRPr="00E559C6">
        <w:rPr>
          <w:rFonts w:ascii="Times New Roman" w:hAnsi="Times New Roman" w:cs="Times New Roman"/>
          <w:b/>
          <w:sz w:val="24"/>
          <w:szCs w:val="24"/>
        </w:rPr>
        <w:t xml:space="preserve">upport </w:t>
      </w:r>
      <w:r w:rsidRPr="00E559C6">
        <w:rPr>
          <w:rFonts w:ascii="Times New Roman" w:hAnsi="Times New Roman" w:cs="Times New Roman"/>
          <w:b/>
          <w:sz w:val="24"/>
          <w:szCs w:val="24"/>
        </w:rPr>
        <w:t>S</w:t>
      </w:r>
      <w:r w:rsidR="00E559C6" w:rsidRPr="00E559C6">
        <w:rPr>
          <w:rFonts w:ascii="Times New Roman" w:hAnsi="Times New Roman" w:cs="Times New Roman"/>
          <w:b/>
          <w:sz w:val="24"/>
          <w:szCs w:val="24"/>
        </w:rPr>
        <w:t>ervice</w:t>
      </w:r>
      <w:r w:rsidR="005611B5">
        <w:rPr>
          <w:rFonts w:ascii="Times New Roman" w:hAnsi="Times New Roman" w:cs="Times New Roman"/>
          <w:b/>
          <w:sz w:val="24"/>
          <w:szCs w:val="24"/>
        </w:rPr>
        <w:t xml:space="preserve"> policy </w:t>
      </w:r>
      <w:r w:rsidR="00E559C6">
        <w:rPr>
          <w:rFonts w:ascii="Times New Roman" w:hAnsi="Times New Roman" w:cs="Times New Roman"/>
          <w:b/>
          <w:sz w:val="24"/>
          <w:szCs w:val="24"/>
        </w:rPr>
        <w:t>to promote the W</w:t>
      </w:r>
      <w:r w:rsidRPr="00E559C6">
        <w:rPr>
          <w:rFonts w:ascii="Times New Roman" w:hAnsi="Times New Roman" w:cs="Times New Roman"/>
          <w:b/>
          <w:sz w:val="24"/>
          <w:szCs w:val="24"/>
        </w:rPr>
        <w:t>ork First initiative, offering support to persons who are entering the workforce, assisting participants with supportive services up to 60 days while in the “startup” phase of new employment</w:t>
      </w:r>
      <w:r w:rsidR="00E559C6">
        <w:rPr>
          <w:rFonts w:ascii="Times New Roman" w:hAnsi="Times New Roman" w:cs="Times New Roman"/>
          <w:b/>
          <w:sz w:val="24"/>
          <w:szCs w:val="24"/>
        </w:rPr>
        <w:t>.</w:t>
      </w:r>
    </w:p>
    <w:p w14:paraId="29D815F6" w14:textId="77777777" w:rsidR="00E559C6" w:rsidRPr="00E559C6" w:rsidRDefault="00E559C6" w:rsidP="00E559C6">
      <w:pPr>
        <w:tabs>
          <w:tab w:val="left" w:pos="297"/>
        </w:tabs>
        <w:jc w:val="both"/>
        <w:rPr>
          <w:rFonts w:ascii="Times New Roman" w:eastAsia="Times New Roman" w:hAnsi="Times New Roman" w:cs="Times New Roman"/>
          <w:b/>
          <w:sz w:val="24"/>
          <w:szCs w:val="24"/>
        </w:rPr>
      </w:pPr>
    </w:p>
    <w:p w14:paraId="4477B3B0" w14:textId="207827B3" w:rsidR="00031301" w:rsidRPr="000C6D49" w:rsidRDefault="00101193" w:rsidP="3132D044">
      <w:pPr>
        <w:tabs>
          <w:tab w:val="left" w:pos="297"/>
        </w:tabs>
        <w:rPr>
          <w:rFonts w:ascii="Times New Roman" w:eastAsia="Times New Roman" w:hAnsi="Times New Roman" w:cs="Times New Roman"/>
          <w:i/>
          <w:iCs/>
          <w:color w:val="131113"/>
          <w:sz w:val="24"/>
          <w:szCs w:val="24"/>
        </w:rPr>
      </w:pPr>
      <w:r w:rsidRPr="3132D044">
        <w:rPr>
          <w:rFonts w:ascii="Times New Roman" w:eastAsia="Times New Roman" w:hAnsi="Times New Roman" w:cs="Times New Roman"/>
          <w:b/>
          <w:bCs/>
          <w:sz w:val="24"/>
          <w:szCs w:val="24"/>
        </w:rPr>
        <w:t>4b.</w:t>
      </w:r>
      <w:r w:rsidRPr="3132D044">
        <w:rPr>
          <w:rFonts w:ascii="Times New Roman" w:eastAsia="Times New Roman" w:hAnsi="Times New Roman" w:cs="Times New Roman"/>
          <w:sz w:val="24"/>
          <w:szCs w:val="24"/>
        </w:rPr>
        <w:t xml:space="preserve"> </w:t>
      </w:r>
      <w:r w:rsidRPr="3132D044">
        <w:rPr>
          <w:rFonts w:ascii="Times New Roman" w:eastAsia="Times New Roman" w:hAnsi="Times New Roman" w:cs="Times New Roman"/>
          <w:i/>
          <w:iCs/>
          <w:sz w:val="24"/>
          <w:szCs w:val="24"/>
        </w:rPr>
        <w:t>Implementation of programs to best serve the rural communities, including economically distressed and at-risk counties; 2) criminal justice reform; 3) vocational and workforce development; and 4) other individuals in priority populations</w:t>
      </w:r>
    </w:p>
    <w:p w14:paraId="5BBC9478" w14:textId="7B70CC30" w:rsidR="001E2F55" w:rsidRDefault="001E2F55" w:rsidP="001E2F55">
      <w:pPr>
        <w:tabs>
          <w:tab w:val="left" w:pos="297"/>
        </w:tabs>
        <w:jc w:val="both"/>
        <w:rPr>
          <w:rFonts w:ascii="Times New Roman" w:eastAsia="Times New Roman" w:hAnsi="Times New Roman" w:cs="Times New Roman"/>
          <w:b/>
          <w:bCs/>
          <w:sz w:val="24"/>
          <w:szCs w:val="24"/>
        </w:rPr>
      </w:pPr>
      <w:r w:rsidRPr="001E2F55">
        <w:rPr>
          <w:rFonts w:ascii="Times New Roman" w:eastAsia="Times New Roman" w:hAnsi="Times New Roman" w:cs="Times New Roman"/>
          <w:b/>
          <w:bCs/>
          <w:sz w:val="24"/>
          <w:szCs w:val="24"/>
        </w:rPr>
        <w:t>East</w:t>
      </w:r>
      <w:r>
        <w:rPr>
          <w:rFonts w:ascii="Times New Roman" w:eastAsia="Times New Roman" w:hAnsi="Times New Roman" w:cs="Times New Roman"/>
          <w:b/>
          <w:bCs/>
          <w:sz w:val="24"/>
          <w:szCs w:val="24"/>
        </w:rPr>
        <w:t xml:space="preserve"> has long recognized the vulnerability of our rural communities and the individuals represented</w:t>
      </w:r>
      <w:r w:rsidR="003C5587">
        <w:rPr>
          <w:rFonts w:ascii="Times New Roman" w:eastAsia="Times New Roman" w:hAnsi="Times New Roman" w:cs="Times New Roman"/>
          <w:b/>
          <w:bCs/>
          <w:sz w:val="24"/>
          <w:szCs w:val="24"/>
        </w:rPr>
        <w:t>, e</w:t>
      </w:r>
      <w:r>
        <w:rPr>
          <w:rFonts w:ascii="Times New Roman" w:eastAsia="Times New Roman" w:hAnsi="Times New Roman" w:cs="Times New Roman"/>
          <w:b/>
          <w:bCs/>
          <w:sz w:val="24"/>
          <w:szCs w:val="24"/>
        </w:rPr>
        <w:t xml:space="preserve">specially </w:t>
      </w:r>
      <w:r w:rsidR="00C5272B">
        <w:rPr>
          <w:rFonts w:ascii="Times New Roman" w:eastAsia="Times New Roman" w:hAnsi="Times New Roman" w:cs="Times New Roman"/>
          <w:b/>
          <w:bCs/>
          <w:sz w:val="24"/>
          <w:szCs w:val="24"/>
        </w:rPr>
        <w:t xml:space="preserve">those living in our two distressed and six at-risk counties.  East continues working to improve services and reach priority populations.  East, in connection with Union County LEA purchased Transfer VR for training/development/career exploration </w:t>
      </w:r>
      <w:r w:rsidR="003C5587">
        <w:rPr>
          <w:rFonts w:ascii="Times New Roman" w:eastAsia="Times New Roman" w:hAnsi="Times New Roman" w:cs="Times New Roman"/>
          <w:b/>
          <w:bCs/>
          <w:sz w:val="24"/>
          <w:szCs w:val="24"/>
        </w:rPr>
        <w:t xml:space="preserve">in this at-risk county.  </w:t>
      </w:r>
      <w:r w:rsidR="00C5272B">
        <w:rPr>
          <w:rFonts w:ascii="Times New Roman" w:eastAsia="Times New Roman" w:hAnsi="Times New Roman" w:cs="Times New Roman"/>
          <w:b/>
          <w:bCs/>
          <w:sz w:val="24"/>
          <w:szCs w:val="24"/>
        </w:rPr>
        <w:t xml:space="preserve"> </w:t>
      </w:r>
      <w:r w:rsidR="003C5587">
        <w:rPr>
          <w:rFonts w:ascii="Times New Roman" w:eastAsia="Times New Roman" w:hAnsi="Times New Roman" w:cs="Times New Roman"/>
          <w:b/>
          <w:bCs/>
          <w:sz w:val="24"/>
          <w:szCs w:val="24"/>
        </w:rPr>
        <w:t xml:space="preserve">East, in connection with </w:t>
      </w:r>
      <w:proofErr w:type="spellStart"/>
      <w:r w:rsidR="003C5587">
        <w:rPr>
          <w:rFonts w:ascii="Times New Roman" w:eastAsia="Times New Roman" w:hAnsi="Times New Roman" w:cs="Times New Roman"/>
          <w:b/>
          <w:bCs/>
          <w:sz w:val="24"/>
          <w:szCs w:val="24"/>
        </w:rPr>
        <w:t>Cocke</w:t>
      </w:r>
      <w:proofErr w:type="spellEnd"/>
      <w:r w:rsidR="003C5587">
        <w:rPr>
          <w:rFonts w:ascii="Times New Roman" w:eastAsia="Times New Roman" w:hAnsi="Times New Roman" w:cs="Times New Roman"/>
          <w:b/>
          <w:bCs/>
          <w:sz w:val="24"/>
          <w:szCs w:val="24"/>
        </w:rPr>
        <w:t xml:space="preserve"> County LEA and Vocational Rehabilitation, funded Paid Work Experience for CTE/Pre-ETS individuals in this distressed county.  East </w:t>
      </w:r>
      <w:r w:rsidR="00663A77">
        <w:rPr>
          <w:rFonts w:ascii="Times New Roman" w:eastAsia="Times New Roman" w:hAnsi="Times New Roman" w:cs="Times New Roman"/>
          <w:b/>
          <w:bCs/>
          <w:sz w:val="24"/>
          <w:szCs w:val="24"/>
        </w:rPr>
        <w:t>continues to focus</w:t>
      </w:r>
      <w:r w:rsidR="003C5587">
        <w:rPr>
          <w:rFonts w:ascii="Times New Roman" w:eastAsia="Times New Roman" w:hAnsi="Times New Roman" w:cs="Times New Roman"/>
          <w:b/>
          <w:bCs/>
          <w:sz w:val="24"/>
          <w:szCs w:val="24"/>
        </w:rPr>
        <w:t xml:space="preserve"> additional resources in funding Paid Work Experience in Campbell and Morgan Counties, two additional at-risk counties. </w:t>
      </w:r>
      <w:r w:rsidR="00663A77">
        <w:rPr>
          <w:rFonts w:ascii="Times New Roman" w:eastAsia="Times New Roman" w:hAnsi="Times New Roman" w:cs="Times New Roman"/>
          <w:b/>
          <w:bCs/>
          <w:sz w:val="24"/>
          <w:szCs w:val="24"/>
        </w:rPr>
        <w:t>East has focused its incumbent worker training resources in at-risk and distressed counties.</w:t>
      </w:r>
      <w:r w:rsidR="008010AA">
        <w:rPr>
          <w:rFonts w:ascii="Times New Roman" w:eastAsia="Times New Roman" w:hAnsi="Times New Roman" w:cs="Times New Roman"/>
          <w:b/>
          <w:bCs/>
          <w:sz w:val="24"/>
          <w:szCs w:val="24"/>
        </w:rPr>
        <w:t xml:space="preserve">  East, in connection with its educational partner, TCAT Oneida/Huntsville funded a specialized welding training program for dislocated workers in Scott County to meet our business partner’s, Great Dane, need </w:t>
      </w:r>
      <w:r w:rsidR="0099130E">
        <w:rPr>
          <w:rFonts w:ascii="Times New Roman" w:eastAsia="Times New Roman" w:hAnsi="Times New Roman" w:cs="Times New Roman"/>
          <w:b/>
          <w:bCs/>
          <w:sz w:val="24"/>
          <w:szCs w:val="24"/>
        </w:rPr>
        <w:t xml:space="preserve">in this distressed county.  </w:t>
      </w:r>
      <w:r w:rsidR="00F97099">
        <w:rPr>
          <w:rFonts w:ascii="Times New Roman" w:eastAsia="Times New Roman" w:hAnsi="Times New Roman" w:cs="Times New Roman"/>
          <w:b/>
          <w:bCs/>
          <w:sz w:val="24"/>
          <w:szCs w:val="24"/>
        </w:rPr>
        <w:t xml:space="preserve"> </w:t>
      </w:r>
    </w:p>
    <w:p w14:paraId="46F912B6" w14:textId="2687FD1C" w:rsidR="0099130E" w:rsidRPr="001E2F55" w:rsidRDefault="0099130E" w:rsidP="001E2F55">
      <w:pPr>
        <w:tabs>
          <w:tab w:val="left" w:pos="297"/>
        </w:tabs>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East has a long and recognized history of working within the criminal justice reform are</w:t>
      </w:r>
      <w:r w:rsidR="00310D3A">
        <w:rPr>
          <w:rFonts w:ascii="Times New Roman" w:eastAsia="Times New Roman" w:hAnsi="Times New Roman" w:cs="Times New Roman"/>
          <w:b/>
          <w:bCs/>
          <w:sz w:val="24"/>
          <w:szCs w:val="24"/>
        </w:rPr>
        <w:t>n</w:t>
      </w:r>
      <w:r>
        <w:rPr>
          <w:rFonts w:ascii="Times New Roman" w:eastAsia="Times New Roman" w:hAnsi="Times New Roman" w:cs="Times New Roman"/>
          <w:b/>
          <w:bCs/>
          <w:sz w:val="24"/>
          <w:szCs w:val="24"/>
        </w:rPr>
        <w:t>a.  East continues its work with the Day Reporting Center in Knoxville and its work with the Morgan County Correctional Complex</w:t>
      </w:r>
      <w:r w:rsidR="00310D3A">
        <w:rPr>
          <w:rFonts w:ascii="Times New Roman" w:eastAsia="Times New Roman" w:hAnsi="Times New Roman" w:cs="Times New Roman"/>
          <w:b/>
          <w:bCs/>
          <w:sz w:val="24"/>
          <w:szCs w:val="24"/>
        </w:rPr>
        <w:t xml:space="preserve">. East, in response to the notice of award for Justice Involved Individuals Grant, requested funding to assist recently released individuals to train for and obtain a class A Commercial Driver License to begin work with our business partner TLD as heavy tractor trailer drivers.  </w:t>
      </w:r>
    </w:p>
    <w:p w14:paraId="37E96A7A" w14:textId="77777777" w:rsidR="001E2F55" w:rsidRDefault="001E2F55" w:rsidP="5C9B80F5">
      <w:pPr>
        <w:rPr>
          <w:rFonts w:ascii="Times New Roman" w:eastAsia="Times New Roman" w:hAnsi="Times New Roman" w:cs="Times New Roman"/>
          <w:sz w:val="24"/>
          <w:szCs w:val="24"/>
          <w:highlight w:val="yellow"/>
        </w:rPr>
      </w:pPr>
    </w:p>
    <w:p w14:paraId="1F206410" w14:textId="77777777" w:rsidR="00A93921" w:rsidRPr="00651CD8" w:rsidRDefault="5C9B80F5" w:rsidP="5C9B80F5">
      <w:pPr>
        <w:tabs>
          <w:tab w:val="left" w:pos="297"/>
        </w:tabs>
        <w:jc w:val="both"/>
        <w:rPr>
          <w:rFonts w:ascii="Times New Roman" w:eastAsia="Times New Roman" w:hAnsi="Times New Roman" w:cs="Times New Roman"/>
          <w:i/>
          <w:iCs/>
          <w:color w:val="131113"/>
          <w:sz w:val="24"/>
          <w:szCs w:val="24"/>
        </w:rPr>
      </w:pPr>
      <w:r w:rsidRPr="5C9B80F5">
        <w:rPr>
          <w:rFonts w:ascii="Times New Roman" w:eastAsia="Times New Roman" w:hAnsi="Times New Roman" w:cs="Times New Roman"/>
          <w:b/>
          <w:bCs/>
          <w:sz w:val="24"/>
          <w:szCs w:val="24"/>
        </w:rPr>
        <w:t>5a.</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Describe any partnerships, new collaborations, or innovative practices you would like to share that include connections with non-profit or other community organizations.</w:t>
      </w:r>
    </w:p>
    <w:p w14:paraId="16393D73" w14:textId="4052AF67" w:rsidR="00651CD8" w:rsidRPr="000C6D49" w:rsidRDefault="5C9B80F5" w:rsidP="5C9B80F5">
      <w:pPr>
        <w:jc w:val="both"/>
        <w:rPr>
          <w:rFonts w:ascii="Times New Roman" w:eastAsia="Times New Roman" w:hAnsi="Times New Roman" w:cs="Times New Roman"/>
          <w:b/>
          <w:bCs/>
          <w:color w:val="424146"/>
          <w:sz w:val="24"/>
          <w:szCs w:val="24"/>
        </w:rPr>
      </w:pPr>
      <w:r w:rsidRPr="5C9B80F5">
        <w:rPr>
          <w:rFonts w:ascii="Times New Roman" w:eastAsia="Times New Roman" w:hAnsi="Times New Roman" w:cs="Times New Roman"/>
          <w:b/>
          <w:bCs/>
          <w:sz w:val="24"/>
          <w:szCs w:val="24"/>
        </w:rPr>
        <w:t>Recognizing the “Great Resignation” of 2021 changed the face of workforce and the resulting outcry from the employer community regarding a qualified labor force, the East TN Local Workforce Development Area is piloting a “Work-First” initiative to ameliorate the effects of the low supply of workers and increas</w:t>
      </w:r>
      <w:r w:rsidR="001744B2">
        <w:rPr>
          <w:rFonts w:ascii="Times New Roman" w:eastAsia="Times New Roman" w:hAnsi="Times New Roman" w:cs="Times New Roman"/>
          <w:b/>
          <w:bCs/>
          <w:sz w:val="24"/>
          <w:szCs w:val="24"/>
        </w:rPr>
        <w:t>e the labor force</w:t>
      </w:r>
      <w:r w:rsidR="005611B5">
        <w:rPr>
          <w:rFonts w:ascii="Times New Roman" w:eastAsia="Times New Roman" w:hAnsi="Times New Roman" w:cs="Times New Roman"/>
          <w:b/>
          <w:bCs/>
          <w:sz w:val="24"/>
          <w:szCs w:val="24"/>
        </w:rPr>
        <w:t xml:space="preserve"> participation</w:t>
      </w:r>
      <w:r w:rsidR="001744B2">
        <w:rPr>
          <w:rFonts w:ascii="Times New Roman" w:eastAsia="Times New Roman" w:hAnsi="Times New Roman" w:cs="Times New Roman"/>
          <w:b/>
          <w:bCs/>
          <w:sz w:val="24"/>
          <w:szCs w:val="24"/>
        </w:rPr>
        <w:t xml:space="preserve"> </w:t>
      </w:r>
      <w:r w:rsidRPr="5C9B80F5">
        <w:rPr>
          <w:rFonts w:ascii="Times New Roman" w:eastAsia="Times New Roman" w:hAnsi="Times New Roman" w:cs="Times New Roman"/>
          <w:b/>
          <w:bCs/>
          <w:sz w:val="24"/>
          <w:szCs w:val="24"/>
        </w:rPr>
        <w:t xml:space="preserve">rate.  ETLWDA is committed to providing supportive services </w:t>
      </w:r>
      <w:r w:rsidRPr="5C9B80F5">
        <w:rPr>
          <w:rFonts w:ascii="Times New Roman" w:eastAsia="Times New Roman" w:hAnsi="Times New Roman" w:cs="Times New Roman"/>
          <w:b/>
          <w:bCs/>
          <w:sz w:val="24"/>
          <w:szCs w:val="24"/>
        </w:rPr>
        <w:lastRenderedPageBreak/>
        <w:t xml:space="preserve">to give workforce system customers greater opportunity for success.  The BST, comprised of all partners within the AJC system, have sought out partnerships with employer organizations such as the Society of Human Resource Managers, Manufacturing Organizations, Chambers of Commerce, and district offices of the Small Business Administration.  East includes in its quarterly partners meeting in excess of 75 community and non-profit organizations.  Entities, prior to the meeting, submit updates of activities each organization may be engaged in as well as any new or encouraging practices.  </w:t>
      </w:r>
    </w:p>
    <w:p w14:paraId="38AB724F" w14:textId="745065B3" w:rsidR="00651CD8" w:rsidRPr="000C6D49" w:rsidRDefault="00651CD8" w:rsidP="3132D044">
      <w:pPr>
        <w:tabs>
          <w:tab w:val="left" w:pos="297"/>
        </w:tabs>
        <w:rPr>
          <w:rFonts w:ascii="Times New Roman" w:eastAsia="Times New Roman" w:hAnsi="Times New Roman" w:cs="Times New Roman"/>
          <w:sz w:val="24"/>
          <w:szCs w:val="24"/>
        </w:rPr>
      </w:pPr>
    </w:p>
    <w:p w14:paraId="3847686B" w14:textId="1EC0BA37" w:rsidR="00A93921" w:rsidRPr="00651CD8" w:rsidRDefault="5C9B80F5" w:rsidP="5C9B80F5">
      <w:pPr>
        <w:tabs>
          <w:tab w:val="left" w:pos="371"/>
        </w:tabs>
        <w:jc w:val="both"/>
        <w:rPr>
          <w:rFonts w:ascii="Times New Roman" w:eastAsia="Times New Roman" w:hAnsi="Times New Roman" w:cs="Times New Roman"/>
          <w:i/>
          <w:iCs/>
          <w:color w:val="424146"/>
          <w:sz w:val="24"/>
          <w:szCs w:val="24"/>
        </w:rPr>
      </w:pPr>
      <w:r w:rsidRPr="5C9B80F5">
        <w:rPr>
          <w:rFonts w:ascii="Times New Roman" w:eastAsia="Times New Roman" w:hAnsi="Times New Roman" w:cs="Times New Roman"/>
          <w:b/>
          <w:bCs/>
          <w:sz w:val="24"/>
          <w:szCs w:val="24"/>
        </w:rPr>
        <w:t>5b</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How is the local area leveraging these valuable partnerships?</w:t>
      </w:r>
    </w:p>
    <w:p w14:paraId="377F3589" w14:textId="0F3CEFD0" w:rsidR="00A93921" w:rsidRPr="00651CD8" w:rsidRDefault="5C9B80F5" w:rsidP="5C9B80F5">
      <w:pPr>
        <w:tabs>
          <w:tab w:val="left" w:pos="371"/>
        </w:tabs>
        <w:jc w:val="both"/>
        <w:rPr>
          <w:rFonts w:ascii="Times New Roman" w:eastAsia="Times New Roman" w:hAnsi="Times New Roman" w:cs="Times New Roman"/>
          <w:b/>
          <w:bCs/>
          <w:color w:val="2F2F34"/>
          <w:sz w:val="24"/>
          <w:szCs w:val="24"/>
        </w:rPr>
      </w:pPr>
      <w:r w:rsidRPr="5C9B80F5">
        <w:rPr>
          <w:rFonts w:ascii="Times New Roman" w:eastAsia="Times New Roman" w:hAnsi="Times New Roman" w:cs="Times New Roman"/>
          <w:b/>
          <w:bCs/>
          <w:sz w:val="24"/>
          <w:szCs w:val="24"/>
        </w:rPr>
        <w:t xml:space="preserve">East leverages its partnerships through exchange of information and a warm referral of clients entering the AJC ensuring those individuals at risk or facing significant barriers to employment, including justice involved and those with disabilities, have a wrap-around, holistic approach, towards meeting not only their immediate needs but a sustainable path toward self-sufficiency. </w:t>
      </w:r>
    </w:p>
    <w:p w14:paraId="4967579A" w14:textId="0A1F64E3" w:rsidR="3132D044" w:rsidRDefault="3132D044" w:rsidP="3132D044">
      <w:pPr>
        <w:tabs>
          <w:tab w:val="left" w:pos="371"/>
        </w:tabs>
        <w:rPr>
          <w:b/>
          <w:bCs/>
          <w:sz w:val="24"/>
          <w:szCs w:val="24"/>
        </w:rPr>
      </w:pPr>
    </w:p>
    <w:p w14:paraId="0B1B147F" w14:textId="27F109C6" w:rsidR="00651CD8" w:rsidRPr="003625CE" w:rsidRDefault="5C9B80F5" w:rsidP="5C9B80F5">
      <w:pPr>
        <w:tabs>
          <w:tab w:val="left" w:pos="371"/>
        </w:tabs>
        <w:jc w:val="both"/>
        <w:rPr>
          <w:rFonts w:ascii="Times New Roman" w:eastAsia="Times New Roman" w:hAnsi="Times New Roman" w:cs="Times New Roman"/>
          <w:i/>
          <w:iCs/>
          <w:color w:val="939195"/>
          <w:sz w:val="24"/>
          <w:szCs w:val="24"/>
        </w:rPr>
      </w:pPr>
      <w:r w:rsidRPr="5C9B80F5">
        <w:rPr>
          <w:rFonts w:ascii="Times New Roman" w:eastAsia="Times New Roman" w:hAnsi="Times New Roman" w:cs="Times New Roman"/>
          <w:b/>
          <w:bCs/>
          <w:sz w:val="24"/>
          <w:szCs w:val="24"/>
        </w:rPr>
        <w:t xml:space="preserve">5c. </w:t>
      </w:r>
      <w:r w:rsidRPr="5C9B80F5">
        <w:rPr>
          <w:rFonts w:ascii="Times New Roman" w:eastAsia="Times New Roman" w:hAnsi="Times New Roman" w:cs="Times New Roman"/>
          <w:i/>
          <w:iCs/>
          <w:sz w:val="24"/>
          <w:szCs w:val="24"/>
        </w:rPr>
        <w:t>Has the LWDB considered utilizing fees for services to employers as revenue opportunities to further support WIOA allowable activities?  If so, provide details of these opportunities</w:t>
      </w:r>
    </w:p>
    <w:p w14:paraId="61FF6829" w14:textId="2A67CED9" w:rsidR="11481513" w:rsidRDefault="5C9B80F5" w:rsidP="5C9B80F5">
      <w:pPr>
        <w:jc w:val="both"/>
        <w:rPr>
          <w:rFonts w:ascii="Times New Roman" w:eastAsia="Times New Roman" w:hAnsi="Times New Roman" w:cs="Times New Roman"/>
          <w:b/>
          <w:bCs/>
          <w:sz w:val="24"/>
          <w:szCs w:val="24"/>
          <w:highlight w:val="yellow"/>
        </w:rPr>
      </w:pPr>
      <w:r w:rsidRPr="5C9B80F5">
        <w:rPr>
          <w:rFonts w:ascii="Times New Roman" w:eastAsia="Times New Roman" w:hAnsi="Times New Roman" w:cs="Times New Roman"/>
          <w:b/>
          <w:bCs/>
        </w:rPr>
        <w:t>East offers the NCRC for a nominal fee to employers who want to hire competent employees.</w:t>
      </w:r>
      <w:r w:rsidR="005611B5">
        <w:rPr>
          <w:rFonts w:ascii="Times New Roman" w:eastAsia="Times New Roman" w:hAnsi="Times New Roman" w:cs="Times New Roman"/>
          <w:b/>
          <w:bCs/>
        </w:rPr>
        <w:t xml:space="preserve"> </w:t>
      </w:r>
      <w:r w:rsidRPr="5C9B80F5">
        <w:rPr>
          <w:rFonts w:ascii="Times New Roman" w:eastAsia="Times New Roman" w:hAnsi="Times New Roman" w:cs="Times New Roman"/>
          <w:b/>
          <w:bCs/>
        </w:rPr>
        <w:t xml:space="preserve"> </w:t>
      </w:r>
      <w:r w:rsidR="005611B5" w:rsidRPr="5C9B80F5">
        <w:rPr>
          <w:rFonts w:ascii="Times New Roman" w:eastAsia="Times New Roman" w:hAnsi="Times New Roman" w:cs="Times New Roman"/>
          <w:b/>
          <w:bCs/>
        </w:rPr>
        <w:t xml:space="preserve">Staff </w:t>
      </w:r>
      <w:r w:rsidRPr="5C9B80F5">
        <w:rPr>
          <w:rFonts w:ascii="Times New Roman" w:eastAsia="Times New Roman" w:hAnsi="Times New Roman" w:cs="Times New Roman"/>
          <w:b/>
          <w:bCs/>
        </w:rPr>
        <w:t xml:space="preserve">will administer the assessment at the worksite.  </w:t>
      </w:r>
      <w:r w:rsidRPr="5C9B80F5">
        <w:rPr>
          <w:rFonts w:ascii="Times New Roman" w:eastAsia="Times New Roman" w:hAnsi="Times New Roman" w:cs="Times New Roman"/>
          <w:b/>
          <w:bCs/>
          <w:sz w:val="24"/>
          <w:szCs w:val="24"/>
        </w:rPr>
        <w:t xml:space="preserve">ETLWDB </w:t>
      </w:r>
      <w:r w:rsidR="005611B5">
        <w:rPr>
          <w:rFonts w:ascii="Times New Roman" w:eastAsia="Times New Roman" w:hAnsi="Times New Roman" w:cs="Times New Roman"/>
          <w:b/>
          <w:bCs/>
          <w:sz w:val="24"/>
          <w:szCs w:val="24"/>
        </w:rPr>
        <w:t>welcomes</w:t>
      </w:r>
      <w:r w:rsidRPr="5C9B80F5">
        <w:rPr>
          <w:rFonts w:ascii="Times New Roman" w:eastAsia="Times New Roman" w:hAnsi="Times New Roman" w:cs="Times New Roman"/>
          <w:b/>
          <w:bCs/>
          <w:sz w:val="24"/>
          <w:szCs w:val="24"/>
        </w:rPr>
        <w:t xml:space="preserve"> hearing the best practices from other Workforce Development Areas.</w:t>
      </w:r>
    </w:p>
    <w:p w14:paraId="67BF487C" w14:textId="7ED23028" w:rsidR="11481513" w:rsidRDefault="11481513" w:rsidP="5C9B80F5">
      <w:pPr>
        <w:jc w:val="both"/>
        <w:rPr>
          <w:b/>
          <w:bCs/>
          <w:sz w:val="24"/>
          <w:szCs w:val="24"/>
        </w:rPr>
      </w:pPr>
    </w:p>
    <w:p w14:paraId="4708AD4D" w14:textId="0AFDF5B2" w:rsidR="11481513" w:rsidRDefault="11481513" w:rsidP="5C9B80F5">
      <w:pPr>
        <w:jc w:val="both"/>
      </w:pPr>
      <w:r>
        <w:rPr>
          <w:noProof/>
        </w:rPr>
        <w:drawing>
          <wp:inline distT="0" distB="0" distL="0" distR="0" wp14:anchorId="377B1EA4" wp14:editId="2A64B8B8">
            <wp:extent cx="9248775" cy="609600"/>
            <wp:effectExtent l="0" t="0" r="0" b="0"/>
            <wp:docPr id="1103901468" name="Picture 110390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248775" cy="609600"/>
                    </a:xfrm>
                    <a:prstGeom prst="rect">
                      <a:avLst/>
                    </a:prstGeom>
                  </pic:spPr>
                </pic:pic>
              </a:graphicData>
            </a:graphic>
          </wp:inline>
        </w:drawing>
      </w:r>
    </w:p>
    <w:p w14:paraId="2179A1B0" w14:textId="77777777" w:rsidR="00A93921" w:rsidRPr="004B2CE8" w:rsidRDefault="5C9B80F5" w:rsidP="5C9B80F5">
      <w:pPr>
        <w:tabs>
          <w:tab w:val="left" w:pos="285"/>
        </w:tabs>
        <w:jc w:val="both"/>
        <w:rPr>
          <w:rFonts w:ascii="Times New Roman" w:eastAsia="Times New Roman" w:hAnsi="Times New Roman" w:cs="Times New Roman"/>
          <w:i/>
          <w:iCs/>
          <w:color w:val="2F2F34"/>
          <w:sz w:val="24"/>
          <w:szCs w:val="24"/>
        </w:rPr>
      </w:pPr>
      <w:r w:rsidRPr="5C9B80F5">
        <w:rPr>
          <w:rFonts w:ascii="Times New Roman" w:eastAsia="Times New Roman" w:hAnsi="Times New Roman" w:cs="Times New Roman"/>
          <w:b/>
          <w:bCs/>
          <w:sz w:val="24"/>
          <w:szCs w:val="24"/>
        </w:rPr>
        <w:t>6a.</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How will your LWDB increase physical and programmatic access for each of the fourteen (14)</w:t>
      </w:r>
    </w:p>
    <w:p w14:paraId="77512117" w14:textId="77777777" w:rsidR="00A93921" w:rsidRPr="004B2CE8" w:rsidRDefault="5C9B80F5" w:rsidP="5C9B80F5">
      <w:pPr>
        <w:jc w:val="both"/>
        <w:rPr>
          <w:rFonts w:ascii="Times New Roman" w:eastAsia="Times New Roman" w:hAnsi="Times New Roman" w:cs="Times New Roman"/>
          <w:i/>
          <w:iCs/>
          <w:sz w:val="24"/>
          <w:szCs w:val="24"/>
        </w:rPr>
      </w:pPr>
      <w:r w:rsidRPr="5C9B80F5">
        <w:rPr>
          <w:rFonts w:ascii="Times New Roman" w:eastAsia="Times New Roman" w:hAnsi="Times New Roman" w:cs="Times New Roman"/>
          <w:i/>
          <w:iCs/>
          <w:sz w:val="24"/>
          <w:szCs w:val="24"/>
        </w:rPr>
        <w:t xml:space="preserve">significant barriers to employment (SBE) groups as outlined within Workforce Services Policy- Key Performance Indicators Section 1(B)? </w:t>
      </w:r>
    </w:p>
    <w:p w14:paraId="340FDD1E" w14:textId="1C5FCDB8" w:rsidR="3132D044" w:rsidRDefault="5C9B80F5" w:rsidP="5C9B80F5">
      <w:pPr>
        <w:jc w:val="both"/>
        <w:rPr>
          <w:rFonts w:ascii="Times New Roman" w:eastAsia="Times New Roman" w:hAnsi="Times New Roman" w:cs="Times New Roman"/>
          <w:b/>
          <w:bCs/>
          <w:color w:val="545259"/>
          <w:sz w:val="24"/>
          <w:szCs w:val="24"/>
        </w:rPr>
      </w:pPr>
      <w:r w:rsidRPr="5C9B80F5">
        <w:rPr>
          <w:rFonts w:ascii="Times New Roman" w:eastAsia="Times New Roman" w:hAnsi="Times New Roman" w:cs="Times New Roman"/>
          <w:b/>
          <w:bCs/>
          <w:sz w:val="24"/>
          <w:szCs w:val="24"/>
        </w:rPr>
        <w:t xml:space="preserve">East has been recognized by the state as the leader and exhibitor of best practices as it relates to the Key Performance Indicators. East will continue its demonstrated programmatic access for each of the fourteen (14) SBE groups.  East continues to expand its community engagement/outreach and its footprint of access points to ensure that East will maintain its position as a leader in meeting the needs of those with significant barriers to employment.  </w:t>
      </w:r>
      <w:r w:rsidR="005611B5">
        <w:rPr>
          <w:rFonts w:ascii="Times New Roman" w:eastAsia="Times New Roman" w:hAnsi="Times New Roman" w:cs="Times New Roman"/>
          <w:b/>
          <w:bCs/>
          <w:sz w:val="24"/>
          <w:szCs w:val="24"/>
        </w:rPr>
        <w:t xml:space="preserve">The </w:t>
      </w:r>
      <w:r w:rsidRPr="5C9B80F5">
        <w:rPr>
          <w:rFonts w:ascii="Times New Roman" w:eastAsia="Times New Roman" w:hAnsi="Times New Roman" w:cs="Times New Roman"/>
          <w:b/>
          <w:bCs/>
          <w:sz w:val="24"/>
          <w:szCs w:val="24"/>
        </w:rPr>
        <w:t>E</w:t>
      </w:r>
      <w:r w:rsidR="005611B5">
        <w:rPr>
          <w:rFonts w:ascii="Times New Roman" w:eastAsia="Times New Roman" w:hAnsi="Times New Roman" w:cs="Times New Roman"/>
          <w:b/>
          <w:bCs/>
          <w:sz w:val="24"/>
          <w:szCs w:val="24"/>
        </w:rPr>
        <w:t xml:space="preserve">ast Tennessee Local Workforce Development Area’s strong partnership </w:t>
      </w:r>
      <w:r w:rsidRPr="5C9B80F5">
        <w:rPr>
          <w:rFonts w:ascii="Times New Roman" w:eastAsia="Times New Roman" w:hAnsi="Times New Roman" w:cs="Times New Roman"/>
          <w:b/>
          <w:bCs/>
          <w:sz w:val="24"/>
          <w:szCs w:val="24"/>
        </w:rPr>
        <w:t xml:space="preserve">with the business community, </w:t>
      </w:r>
      <w:r w:rsidR="005611B5">
        <w:rPr>
          <w:rFonts w:ascii="Times New Roman" w:eastAsia="Times New Roman" w:hAnsi="Times New Roman" w:cs="Times New Roman"/>
          <w:b/>
          <w:bCs/>
          <w:sz w:val="24"/>
          <w:szCs w:val="24"/>
        </w:rPr>
        <w:t>AJC partners,</w:t>
      </w:r>
      <w:r w:rsidRPr="5C9B80F5">
        <w:rPr>
          <w:rFonts w:ascii="Times New Roman" w:eastAsia="Times New Roman" w:hAnsi="Times New Roman" w:cs="Times New Roman"/>
          <w:b/>
          <w:bCs/>
          <w:sz w:val="24"/>
          <w:szCs w:val="24"/>
        </w:rPr>
        <w:t xml:space="preserve"> community, non-profits, a</w:t>
      </w:r>
      <w:r w:rsidR="00A041B6">
        <w:rPr>
          <w:rFonts w:ascii="Times New Roman" w:eastAsia="Times New Roman" w:hAnsi="Times New Roman" w:cs="Times New Roman"/>
          <w:b/>
          <w:bCs/>
          <w:sz w:val="24"/>
          <w:szCs w:val="24"/>
        </w:rPr>
        <w:t>nd faith-based organizations</w:t>
      </w:r>
      <w:r w:rsidRPr="5C9B80F5">
        <w:rPr>
          <w:rFonts w:ascii="Times New Roman" w:eastAsia="Times New Roman" w:hAnsi="Times New Roman" w:cs="Times New Roman"/>
          <w:b/>
          <w:bCs/>
          <w:sz w:val="24"/>
          <w:szCs w:val="24"/>
        </w:rPr>
        <w:t xml:space="preserve"> </w:t>
      </w:r>
      <w:r w:rsidR="005611B5" w:rsidRPr="5C9B80F5">
        <w:rPr>
          <w:rFonts w:ascii="Times New Roman" w:eastAsia="Times New Roman" w:hAnsi="Times New Roman" w:cs="Times New Roman"/>
          <w:b/>
          <w:bCs/>
          <w:sz w:val="24"/>
          <w:szCs w:val="24"/>
        </w:rPr>
        <w:t>ha</w:t>
      </w:r>
      <w:r w:rsidR="005611B5">
        <w:rPr>
          <w:rFonts w:ascii="Times New Roman" w:eastAsia="Times New Roman" w:hAnsi="Times New Roman" w:cs="Times New Roman"/>
          <w:b/>
          <w:bCs/>
          <w:sz w:val="24"/>
          <w:szCs w:val="24"/>
        </w:rPr>
        <w:t>s</w:t>
      </w:r>
      <w:r w:rsidRPr="5C9B80F5">
        <w:rPr>
          <w:rFonts w:ascii="Times New Roman" w:eastAsia="Times New Roman" w:hAnsi="Times New Roman" w:cs="Times New Roman"/>
          <w:b/>
          <w:bCs/>
          <w:sz w:val="24"/>
          <w:szCs w:val="24"/>
        </w:rPr>
        <w:t xml:space="preserve"> allowed </w:t>
      </w:r>
      <w:r w:rsidR="005611B5">
        <w:rPr>
          <w:rFonts w:ascii="Times New Roman" w:eastAsia="Times New Roman" w:hAnsi="Times New Roman" w:cs="Times New Roman"/>
          <w:b/>
          <w:bCs/>
          <w:sz w:val="24"/>
          <w:szCs w:val="24"/>
        </w:rPr>
        <w:t xml:space="preserve">the </w:t>
      </w:r>
      <w:r w:rsidRPr="5C9B80F5">
        <w:rPr>
          <w:rFonts w:ascii="Times New Roman" w:eastAsia="Times New Roman" w:hAnsi="Times New Roman" w:cs="Times New Roman"/>
          <w:b/>
          <w:bCs/>
          <w:sz w:val="24"/>
          <w:szCs w:val="24"/>
        </w:rPr>
        <w:t>E</w:t>
      </w:r>
      <w:r w:rsidR="005611B5">
        <w:rPr>
          <w:rFonts w:ascii="Times New Roman" w:eastAsia="Times New Roman" w:hAnsi="Times New Roman" w:cs="Times New Roman"/>
          <w:b/>
          <w:bCs/>
          <w:sz w:val="24"/>
          <w:szCs w:val="24"/>
        </w:rPr>
        <w:t>ast Area</w:t>
      </w:r>
      <w:r w:rsidRPr="5C9B80F5">
        <w:rPr>
          <w:rFonts w:ascii="Times New Roman" w:eastAsia="Times New Roman" w:hAnsi="Times New Roman" w:cs="Times New Roman"/>
          <w:b/>
          <w:bCs/>
          <w:sz w:val="24"/>
          <w:szCs w:val="24"/>
        </w:rPr>
        <w:t xml:space="preserve"> to excel.  The system cannot effectively serve individuals impacted by barriers to employment from within silos.  An effective system must utilize every resource available with the common goal of assisting individual</w:t>
      </w:r>
      <w:r w:rsidR="005611B5">
        <w:rPr>
          <w:rFonts w:ascii="Times New Roman" w:eastAsia="Times New Roman" w:hAnsi="Times New Roman" w:cs="Times New Roman"/>
          <w:b/>
          <w:bCs/>
          <w:sz w:val="24"/>
          <w:szCs w:val="24"/>
        </w:rPr>
        <w:t>s in overcoming their barriers.</w:t>
      </w:r>
    </w:p>
    <w:p w14:paraId="141330CD" w14:textId="77BD1E99" w:rsidR="00A93921" w:rsidRPr="004B2CE8" w:rsidRDefault="00A93921" w:rsidP="5C9B80F5">
      <w:pPr>
        <w:jc w:val="both"/>
        <w:rPr>
          <w:rFonts w:ascii="Times New Roman" w:eastAsia="Times New Roman" w:hAnsi="Times New Roman" w:cs="Times New Roman"/>
          <w:sz w:val="24"/>
          <w:szCs w:val="24"/>
        </w:rPr>
      </w:pPr>
    </w:p>
    <w:p w14:paraId="713D7198" w14:textId="739A391C" w:rsidR="00A93921" w:rsidRPr="004B2CE8" w:rsidRDefault="00101193" w:rsidP="5C9B80F5">
      <w:pPr>
        <w:rPr>
          <w:rFonts w:ascii="Times New Roman" w:eastAsia="Times New Roman" w:hAnsi="Times New Roman" w:cs="Times New Roman"/>
          <w:color w:val="545259"/>
          <w:sz w:val="24"/>
          <w:szCs w:val="24"/>
        </w:rPr>
      </w:pPr>
      <w:r w:rsidRPr="3132D044">
        <w:rPr>
          <w:rFonts w:ascii="Times New Roman" w:eastAsia="Times New Roman" w:hAnsi="Times New Roman" w:cs="Times New Roman"/>
          <w:b/>
          <w:bCs/>
          <w:sz w:val="24"/>
          <w:szCs w:val="24"/>
        </w:rPr>
        <w:t>6b.</w:t>
      </w:r>
      <w:r w:rsidRPr="3132D044">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 xml:space="preserve">Utilizing the Key Performance Indicator (KPI) form, provide the name of the lead organization (community-based organization, nonprofit, a state agency, etc.), a brief narrative strategy, a list of primary </w:t>
      </w:r>
      <w:r>
        <w:rPr>
          <w:noProof/>
        </w:rPr>
        <mc:AlternateContent>
          <mc:Choice Requires="wps">
            <w:drawing>
              <wp:anchor distT="0" distB="0" distL="114300" distR="114300" simplePos="0" relativeHeight="15729152" behindDoc="0" locked="0" layoutInCell="1" allowOverlap="1" wp14:anchorId="001B773B" wp14:editId="733CFFA0">
                <wp:simplePos x="0" y="0"/>
                <wp:positionH relativeFrom="page">
                  <wp:posOffset>8890</wp:posOffset>
                </wp:positionH>
                <wp:positionV relativeFrom="page">
                  <wp:posOffset>10076815</wp:posOffset>
                </wp:positionV>
                <wp:extent cx="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66">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6E95A" id="Line 2"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pt,793.45pt" to=".7pt,79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8yysQEAAFsDAAAOAAAAZHJzL2Uyb0RvYy54bWysU02P0zAQvSPxHyzfado9VBA13UPLclmg&#13;&#10;0i4/YGo7iYXjsWbcJv332E5bVnBD5GCN5+P5zZvJ5nEanDgbYou+kavFUgrjFWrru0b+eH368FEK&#13;&#10;juA1OPSmkRfD8nH7/t1mDLV5wB6dNiQSiOd6DI3sYwx1VbHqzQC8wGB8CrZIA8R0pa7SBGNCH1z1&#13;&#10;sFyuqxFJB0JlmJN3PwfltuC3rVHxe9uyicI1MnGL5aRyHvNZbTdQdwSht+pKA/6BxQDWp0fvUHuI&#13;&#10;IE5k/4IarCJkbONC4VBh21plSg+pm9Xyj25eegim9JLE4XCXif8frPp23vkDZepq8i/hGdVPFh53&#13;&#10;PfjOFAKvl5AGt8pSVWPg+l6SLxwOJI7jV9QpB04RiwpTS0OGTP2JqYh9uYttpijU7FQ3bwX1rSQQ&#13;&#10;xy8GB5GNRjrrswJQw/mZY6YA9S0luz0+WefKFJ0XYyM/rdbrUsDorM7BnMbUHXeOxBnyHpSv9JMi&#13;&#10;b9My8h64n/NKaN4QwpPX5ZXegP58tSNYN9uJlfNXfbIkef+4PqK+HOimW5pgoX/dtrwib++l+vc/&#13;&#10;sf0FAAD//wMAUEsDBBQABgAIAAAAIQA6+mES3AAAAA4BAAAPAAAAZHJzL2Rvd25yZXYueG1sTE9N&#13;&#10;T8MwDL0j8R8iI3FjKWgZo2s6IWBCHCkf4pglpq1onCrJtvLv8Q4ILrbe8/Pzc7We/CD2GFMfSMPl&#13;&#10;rACBZIPrqdXw+rK5WIJI2ZAzQyDU8I0J1vXpSWVKFw70jPsmt4JNKJVGQ5fzWEqZbIfepFkYkXj2&#13;&#10;GaI3mWFspYvmwOZ+kFdFsZDe9MQXOjPiXYf2q9l5DWneRGU/krqWT/btYfP+qBSR1udn0/2Ky+0K&#13;&#10;RMYp/23A8QfODzUH24YduSQGxnMWclPLxQ2Io4CJ7S8h60r+f6P+AQAA//8DAFBLAQItABQABgAI&#13;&#10;AAAAIQC2gziS/gAAAOEBAAATAAAAAAAAAAAAAAAAAAAAAABbQ29udGVudF9UeXBlc10ueG1sUEsB&#13;&#10;Ai0AFAAGAAgAAAAhADj9If/WAAAAlAEAAAsAAAAAAAAAAAAAAAAALwEAAF9yZWxzLy5yZWxzUEsB&#13;&#10;Ai0AFAAGAAgAAAAhAKgTzLKxAQAAWwMAAA4AAAAAAAAAAAAAAAAALgIAAGRycy9lMm9Eb2MueG1s&#13;&#10;UEsBAi0AFAAGAAgAAAAhADr6YRLcAAAADgEAAA8AAAAAAAAAAAAAAAAACwQAAGRycy9kb3ducmV2&#13;&#10;LnhtbFBLBQYAAAAABAAEAPMAAAAUBQAAAAA=&#13;&#10;" strokeweight=".25461mm">
                <w10:wrap anchorx="page" anchory="page"/>
              </v:line>
            </w:pict>
          </mc:Fallback>
        </mc:AlternateContent>
      </w:r>
      <w:r w:rsidRPr="5C9B80F5">
        <w:rPr>
          <w:rFonts w:ascii="Times New Roman" w:eastAsia="Times New Roman" w:hAnsi="Times New Roman" w:cs="Times New Roman"/>
          <w:i/>
          <w:iCs/>
          <w:sz w:val="24"/>
          <w:szCs w:val="24"/>
        </w:rPr>
        <w:t>supportive services catered to the SBE's specific needs, and the monitoring methodology/frequency for each SBE group.</w:t>
      </w:r>
    </w:p>
    <w:p w14:paraId="25F2AACD" w14:textId="2263DF8A" w:rsidR="00A93921" w:rsidRDefault="00000000" w:rsidP="5C9B80F5">
      <w:pPr>
        <w:spacing w:after="160" w:line="256" w:lineRule="auto"/>
        <w:rPr>
          <w:rStyle w:val="Hyperlink"/>
          <w:rFonts w:ascii="Calibri" w:eastAsia="Calibri" w:hAnsi="Calibri" w:cs="Calibri"/>
        </w:rPr>
      </w:pPr>
      <w:hyperlink r:id="rId13">
        <w:r w:rsidR="5C9B80F5" w:rsidRPr="5C9B80F5">
          <w:rPr>
            <w:rStyle w:val="Hyperlink"/>
            <w:rFonts w:ascii="Calibri" w:eastAsia="Calibri" w:hAnsi="Calibri" w:cs="Calibri"/>
          </w:rPr>
          <w:t>Workforce Services Policy - KPIs</w:t>
        </w:r>
      </w:hyperlink>
    </w:p>
    <w:p w14:paraId="6C8386D9" w14:textId="77777777" w:rsidR="00A041B6" w:rsidRPr="004B2CE8" w:rsidRDefault="00A041B6" w:rsidP="5C9B80F5">
      <w:pPr>
        <w:spacing w:after="160" w:line="256" w:lineRule="auto"/>
        <w:rPr>
          <w:rFonts w:ascii="Calibri" w:eastAsia="Calibri" w:hAnsi="Calibri" w:cs="Calibri"/>
        </w:rPr>
      </w:pPr>
    </w:p>
    <w:tbl>
      <w:tblPr>
        <w:tblStyle w:val="TableGrid"/>
        <w:tblW w:w="0" w:type="auto"/>
        <w:tblLayout w:type="fixed"/>
        <w:tblLook w:val="04A0" w:firstRow="1" w:lastRow="0" w:firstColumn="1" w:lastColumn="0" w:noHBand="0" w:noVBand="1"/>
      </w:tblPr>
      <w:tblGrid>
        <w:gridCol w:w="6810"/>
        <w:gridCol w:w="1605"/>
        <w:gridCol w:w="1905"/>
        <w:gridCol w:w="1875"/>
        <w:gridCol w:w="2344"/>
      </w:tblGrid>
      <w:tr w:rsidR="5C9B80F5" w14:paraId="109B891A" w14:textId="77777777" w:rsidTr="5C9B80F5">
        <w:tc>
          <w:tcPr>
            <w:tcW w:w="6810" w:type="dxa"/>
            <w:shd w:val="clear" w:color="auto" w:fill="95B3D7" w:themeFill="accent1" w:themeFillTint="99"/>
            <w:vAlign w:val="center"/>
          </w:tcPr>
          <w:p w14:paraId="452032E2" w14:textId="0598970D" w:rsidR="5C9B80F5" w:rsidRDefault="5C9B80F5" w:rsidP="5C9B80F5">
            <w:pPr>
              <w:spacing w:after="200" w:line="276" w:lineRule="auto"/>
              <w:jc w:val="center"/>
              <w:rPr>
                <w:rFonts w:ascii="Calibri" w:eastAsia="Calibri" w:hAnsi="Calibri" w:cs="Calibri"/>
              </w:rPr>
            </w:pPr>
            <w:r w:rsidRPr="5C9B80F5">
              <w:rPr>
                <w:rFonts w:ascii="Calibri" w:eastAsia="Calibri" w:hAnsi="Calibri" w:cs="Calibri"/>
                <w:b/>
                <w:bCs/>
              </w:rPr>
              <w:t>Significant Barriers to Employment (SBE) group</w:t>
            </w:r>
          </w:p>
        </w:tc>
        <w:tc>
          <w:tcPr>
            <w:tcW w:w="1605" w:type="dxa"/>
            <w:shd w:val="clear" w:color="auto" w:fill="95B3D7" w:themeFill="accent1" w:themeFillTint="99"/>
            <w:vAlign w:val="center"/>
          </w:tcPr>
          <w:p w14:paraId="178EE364" w14:textId="2BDE7741" w:rsidR="5C9B80F5" w:rsidRDefault="5C9B80F5" w:rsidP="5C9B80F5">
            <w:pPr>
              <w:spacing w:after="200" w:line="276" w:lineRule="auto"/>
              <w:jc w:val="center"/>
              <w:rPr>
                <w:rFonts w:ascii="Calibri" w:eastAsia="Calibri" w:hAnsi="Calibri" w:cs="Calibri"/>
              </w:rPr>
            </w:pPr>
            <w:r w:rsidRPr="5C9B80F5">
              <w:rPr>
                <w:rFonts w:ascii="Calibri" w:eastAsia="Calibri" w:hAnsi="Calibri" w:cs="Calibri"/>
                <w:b/>
                <w:bCs/>
              </w:rPr>
              <w:t xml:space="preserve">Lead </w:t>
            </w:r>
            <w:r w:rsidRPr="5C9B80F5">
              <w:rPr>
                <w:rFonts w:ascii="Calibri" w:eastAsia="Calibri" w:hAnsi="Calibri" w:cs="Calibri"/>
                <w:b/>
                <w:bCs/>
              </w:rPr>
              <w:lastRenderedPageBreak/>
              <w:t>Organization</w:t>
            </w:r>
          </w:p>
        </w:tc>
        <w:tc>
          <w:tcPr>
            <w:tcW w:w="1905" w:type="dxa"/>
            <w:shd w:val="clear" w:color="auto" w:fill="95B3D7" w:themeFill="accent1" w:themeFillTint="99"/>
            <w:vAlign w:val="center"/>
          </w:tcPr>
          <w:p w14:paraId="45655BE6" w14:textId="2AA93A23" w:rsidR="5C9B80F5" w:rsidRDefault="5C9B80F5" w:rsidP="5C9B80F5">
            <w:pPr>
              <w:spacing w:after="200" w:line="276" w:lineRule="auto"/>
              <w:jc w:val="center"/>
              <w:rPr>
                <w:rFonts w:ascii="Calibri" w:eastAsia="Calibri" w:hAnsi="Calibri" w:cs="Calibri"/>
              </w:rPr>
            </w:pPr>
            <w:r w:rsidRPr="5C9B80F5">
              <w:rPr>
                <w:rFonts w:ascii="Calibri" w:eastAsia="Calibri" w:hAnsi="Calibri" w:cs="Calibri"/>
                <w:b/>
                <w:bCs/>
              </w:rPr>
              <w:lastRenderedPageBreak/>
              <w:t>Narrative Strategy</w:t>
            </w:r>
          </w:p>
        </w:tc>
        <w:tc>
          <w:tcPr>
            <w:tcW w:w="1875" w:type="dxa"/>
            <w:shd w:val="clear" w:color="auto" w:fill="95B3D7" w:themeFill="accent1" w:themeFillTint="99"/>
            <w:vAlign w:val="center"/>
          </w:tcPr>
          <w:p w14:paraId="16FB6B38" w14:textId="15303A06" w:rsidR="5C9B80F5" w:rsidRDefault="5C9B80F5" w:rsidP="5C9B80F5">
            <w:pPr>
              <w:spacing w:after="200" w:line="276" w:lineRule="auto"/>
              <w:jc w:val="center"/>
              <w:rPr>
                <w:rFonts w:ascii="Calibri" w:eastAsia="Calibri" w:hAnsi="Calibri" w:cs="Calibri"/>
              </w:rPr>
            </w:pPr>
            <w:r w:rsidRPr="5C9B80F5">
              <w:rPr>
                <w:rFonts w:ascii="Calibri" w:eastAsia="Calibri" w:hAnsi="Calibri" w:cs="Calibri"/>
                <w:b/>
                <w:bCs/>
              </w:rPr>
              <w:t xml:space="preserve">Primary supportive </w:t>
            </w:r>
            <w:r w:rsidRPr="5C9B80F5">
              <w:rPr>
                <w:rFonts w:ascii="Calibri" w:eastAsia="Calibri" w:hAnsi="Calibri" w:cs="Calibri"/>
                <w:b/>
                <w:bCs/>
              </w:rPr>
              <w:lastRenderedPageBreak/>
              <w:t>services</w:t>
            </w:r>
          </w:p>
          <w:p w14:paraId="06BCD0F3" w14:textId="26FD379B" w:rsidR="5C9B80F5" w:rsidRDefault="5C9B80F5" w:rsidP="5C9B80F5">
            <w:pPr>
              <w:spacing w:after="200" w:line="276" w:lineRule="auto"/>
              <w:jc w:val="center"/>
              <w:rPr>
                <w:rFonts w:ascii="Calibri" w:eastAsia="Calibri" w:hAnsi="Calibri" w:cs="Calibri"/>
              </w:rPr>
            </w:pPr>
            <w:r w:rsidRPr="5C9B80F5">
              <w:rPr>
                <w:rFonts w:ascii="Calibri" w:eastAsia="Calibri" w:hAnsi="Calibri" w:cs="Calibri"/>
                <w:b/>
                <w:bCs/>
              </w:rPr>
              <w:t>catered to the SBE’s specific needs</w:t>
            </w:r>
          </w:p>
        </w:tc>
        <w:tc>
          <w:tcPr>
            <w:tcW w:w="2344" w:type="dxa"/>
            <w:shd w:val="clear" w:color="auto" w:fill="95B3D7" w:themeFill="accent1" w:themeFillTint="99"/>
            <w:vAlign w:val="center"/>
          </w:tcPr>
          <w:p w14:paraId="613F68DD" w14:textId="03CB8546" w:rsidR="5C9B80F5" w:rsidRDefault="5C9B80F5" w:rsidP="5C9B80F5">
            <w:pPr>
              <w:spacing w:after="200" w:line="276" w:lineRule="auto"/>
              <w:jc w:val="center"/>
              <w:rPr>
                <w:rFonts w:ascii="Calibri" w:eastAsia="Calibri" w:hAnsi="Calibri" w:cs="Calibri"/>
              </w:rPr>
            </w:pPr>
            <w:r w:rsidRPr="5C9B80F5">
              <w:rPr>
                <w:rFonts w:ascii="Calibri" w:eastAsia="Calibri" w:hAnsi="Calibri" w:cs="Calibri"/>
                <w:b/>
                <w:bCs/>
              </w:rPr>
              <w:lastRenderedPageBreak/>
              <w:t>Monitoring Methodology/Frequen</w:t>
            </w:r>
            <w:r w:rsidRPr="5C9B80F5">
              <w:rPr>
                <w:rFonts w:ascii="Calibri" w:eastAsia="Calibri" w:hAnsi="Calibri" w:cs="Calibri"/>
                <w:b/>
                <w:bCs/>
              </w:rPr>
              <w:lastRenderedPageBreak/>
              <w:t>cy</w:t>
            </w:r>
          </w:p>
        </w:tc>
      </w:tr>
      <w:tr w:rsidR="5C9B80F5" w14:paraId="6708E568" w14:textId="77777777" w:rsidTr="5C9B80F5">
        <w:tc>
          <w:tcPr>
            <w:tcW w:w="6810" w:type="dxa"/>
            <w:shd w:val="clear" w:color="auto" w:fill="DBE5F1" w:themeFill="accent1" w:themeFillTint="33"/>
            <w:vAlign w:val="center"/>
          </w:tcPr>
          <w:p w14:paraId="59B962D1" w14:textId="2A377732"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lastRenderedPageBreak/>
              <w:t>Displaced Homemakers</w:t>
            </w:r>
          </w:p>
        </w:tc>
        <w:tc>
          <w:tcPr>
            <w:tcW w:w="1605" w:type="dxa"/>
            <w:shd w:val="clear" w:color="auto" w:fill="DBE5F1" w:themeFill="accent1" w:themeFillTint="33"/>
            <w:vAlign w:val="center"/>
          </w:tcPr>
          <w:p w14:paraId="512F60CE" w14:textId="2C1731DC" w:rsidR="5C9B80F5" w:rsidRDefault="5C9B80F5" w:rsidP="5C9B80F5">
            <w:pPr>
              <w:spacing w:after="200" w:line="276" w:lineRule="auto"/>
              <w:rPr>
                <w:rFonts w:ascii="Calibri" w:eastAsia="Calibri" w:hAnsi="Calibri" w:cs="Calibri"/>
              </w:rPr>
            </w:pPr>
            <w:r w:rsidRPr="5C9B80F5">
              <w:rPr>
                <w:rFonts w:ascii="Calibri" w:eastAsia="Calibri" w:hAnsi="Calibri" w:cs="Calibri"/>
              </w:rPr>
              <w:t>Core Partners</w:t>
            </w:r>
          </w:p>
        </w:tc>
        <w:tc>
          <w:tcPr>
            <w:tcW w:w="1905" w:type="dxa"/>
            <w:shd w:val="clear" w:color="auto" w:fill="DBE5F1" w:themeFill="accent1" w:themeFillTint="33"/>
            <w:vAlign w:val="center"/>
          </w:tcPr>
          <w:p w14:paraId="12DD4DDC" w14:textId="59CAE8B8"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DBE5F1" w:themeFill="accent1" w:themeFillTint="33"/>
            <w:vAlign w:val="center"/>
          </w:tcPr>
          <w:p w14:paraId="38739CB6" w14:textId="287C4A59"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DBE5F1" w:themeFill="accent1" w:themeFillTint="33"/>
            <w:vAlign w:val="center"/>
          </w:tcPr>
          <w:p w14:paraId="12D813E4" w14:textId="0A2369CF"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45789A24" w14:textId="77777777" w:rsidTr="5C9B80F5">
        <w:tc>
          <w:tcPr>
            <w:tcW w:w="6810" w:type="dxa"/>
            <w:shd w:val="clear" w:color="auto" w:fill="C6D9F1" w:themeFill="text2" w:themeFillTint="33"/>
            <w:vAlign w:val="center"/>
          </w:tcPr>
          <w:p w14:paraId="22F2794D" w14:textId="30E29DB4"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Low-income individuals/recipients of income-based public assistance</w:t>
            </w:r>
          </w:p>
        </w:tc>
        <w:tc>
          <w:tcPr>
            <w:tcW w:w="1605" w:type="dxa"/>
            <w:shd w:val="clear" w:color="auto" w:fill="C6D9F1" w:themeFill="text2" w:themeFillTint="33"/>
            <w:vAlign w:val="center"/>
          </w:tcPr>
          <w:p w14:paraId="4BC19CBC" w14:textId="2107FA90" w:rsidR="5C9B80F5" w:rsidRDefault="5C9B80F5" w:rsidP="5C9B80F5">
            <w:pPr>
              <w:spacing w:after="200" w:line="276" w:lineRule="auto"/>
              <w:rPr>
                <w:rFonts w:ascii="Calibri" w:eastAsia="Calibri" w:hAnsi="Calibri" w:cs="Calibri"/>
              </w:rPr>
            </w:pPr>
            <w:r w:rsidRPr="5C9B80F5">
              <w:rPr>
                <w:rFonts w:ascii="Calibri" w:eastAsia="Calibri" w:hAnsi="Calibri" w:cs="Calibri"/>
              </w:rPr>
              <w:t>Core Partners</w:t>
            </w:r>
          </w:p>
        </w:tc>
        <w:tc>
          <w:tcPr>
            <w:tcW w:w="1905" w:type="dxa"/>
            <w:shd w:val="clear" w:color="auto" w:fill="C6D9F1" w:themeFill="text2" w:themeFillTint="33"/>
            <w:vAlign w:val="center"/>
          </w:tcPr>
          <w:p w14:paraId="6707AB04" w14:textId="7CD047EF"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C6D9F1" w:themeFill="text2" w:themeFillTint="33"/>
            <w:vAlign w:val="center"/>
          </w:tcPr>
          <w:p w14:paraId="5DB6887B" w14:textId="32BEE0AF"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C6D9F1" w:themeFill="text2" w:themeFillTint="33"/>
            <w:vAlign w:val="center"/>
          </w:tcPr>
          <w:p w14:paraId="46F1BDE9" w14:textId="2324617F"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38268944" w14:textId="77777777" w:rsidTr="5C9B80F5">
        <w:tc>
          <w:tcPr>
            <w:tcW w:w="6810" w:type="dxa"/>
            <w:shd w:val="clear" w:color="auto" w:fill="DBE5F1" w:themeFill="accent1" w:themeFillTint="33"/>
            <w:vAlign w:val="center"/>
          </w:tcPr>
          <w:p w14:paraId="6D5B4718" w14:textId="357A2C7D"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Native Americans</w:t>
            </w:r>
          </w:p>
        </w:tc>
        <w:tc>
          <w:tcPr>
            <w:tcW w:w="1605" w:type="dxa"/>
            <w:shd w:val="clear" w:color="auto" w:fill="DBE5F1" w:themeFill="accent1" w:themeFillTint="33"/>
            <w:vAlign w:val="center"/>
          </w:tcPr>
          <w:p w14:paraId="33C8585B" w14:textId="2C94D9BB" w:rsidR="5C9B80F5" w:rsidRDefault="5C9B80F5" w:rsidP="5C9B80F5">
            <w:pPr>
              <w:spacing w:after="200" w:line="276" w:lineRule="auto"/>
              <w:rPr>
                <w:rFonts w:ascii="Calibri" w:eastAsia="Calibri" w:hAnsi="Calibri" w:cs="Calibri"/>
              </w:rPr>
            </w:pPr>
            <w:r w:rsidRPr="5C9B80F5">
              <w:rPr>
                <w:rFonts w:ascii="Calibri" w:eastAsia="Calibri" w:hAnsi="Calibri" w:cs="Calibri"/>
              </w:rPr>
              <w:t>Core Partners</w:t>
            </w:r>
          </w:p>
        </w:tc>
        <w:tc>
          <w:tcPr>
            <w:tcW w:w="1905" w:type="dxa"/>
            <w:shd w:val="clear" w:color="auto" w:fill="DBE5F1" w:themeFill="accent1" w:themeFillTint="33"/>
            <w:vAlign w:val="center"/>
          </w:tcPr>
          <w:p w14:paraId="678139F9" w14:textId="57C0A217"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DBE5F1" w:themeFill="accent1" w:themeFillTint="33"/>
            <w:vAlign w:val="center"/>
          </w:tcPr>
          <w:p w14:paraId="1AC5955B" w14:textId="4C77957C"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DBE5F1" w:themeFill="accent1" w:themeFillTint="33"/>
            <w:vAlign w:val="center"/>
          </w:tcPr>
          <w:p w14:paraId="75124F64" w14:textId="1D933147"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24CA7533" w14:textId="77777777" w:rsidTr="5C9B80F5">
        <w:tc>
          <w:tcPr>
            <w:tcW w:w="6810" w:type="dxa"/>
            <w:shd w:val="clear" w:color="auto" w:fill="C6D9F1" w:themeFill="text2" w:themeFillTint="33"/>
            <w:vAlign w:val="center"/>
          </w:tcPr>
          <w:p w14:paraId="7086EF5F" w14:textId="765B20F5"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Individuals with mental or physical disabilities, including the recipients of Social Security Disability Insurance</w:t>
            </w:r>
          </w:p>
        </w:tc>
        <w:tc>
          <w:tcPr>
            <w:tcW w:w="1605" w:type="dxa"/>
            <w:shd w:val="clear" w:color="auto" w:fill="C6D9F1" w:themeFill="text2" w:themeFillTint="33"/>
            <w:vAlign w:val="center"/>
          </w:tcPr>
          <w:p w14:paraId="48EF3555" w14:textId="00DC2C5A" w:rsidR="5C9B80F5" w:rsidRDefault="5C9B80F5" w:rsidP="5C9B80F5">
            <w:pPr>
              <w:spacing w:after="200" w:line="276" w:lineRule="auto"/>
              <w:rPr>
                <w:rFonts w:ascii="Calibri" w:eastAsia="Calibri" w:hAnsi="Calibri" w:cs="Calibri"/>
              </w:rPr>
            </w:pPr>
            <w:r w:rsidRPr="5C9B80F5">
              <w:rPr>
                <w:rFonts w:ascii="Calibri" w:eastAsia="Calibri" w:hAnsi="Calibri" w:cs="Calibri"/>
              </w:rPr>
              <w:t>Voc. Rehab.  &amp; Core Partners</w:t>
            </w:r>
          </w:p>
        </w:tc>
        <w:tc>
          <w:tcPr>
            <w:tcW w:w="1905" w:type="dxa"/>
            <w:shd w:val="clear" w:color="auto" w:fill="C6D9F1" w:themeFill="text2" w:themeFillTint="33"/>
            <w:vAlign w:val="center"/>
          </w:tcPr>
          <w:p w14:paraId="6416C2D1" w14:textId="1264893D"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C6D9F1" w:themeFill="text2" w:themeFillTint="33"/>
            <w:vAlign w:val="center"/>
          </w:tcPr>
          <w:p w14:paraId="3CE3B637" w14:textId="4C7E9D59"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C6D9F1" w:themeFill="text2" w:themeFillTint="33"/>
            <w:vAlign w:val="center"/>
          </w:tcPr>
          <w:p w14:paraId="6CB66FAD" w14:textId="3BA9248F"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0AE59717" w14:textId="77777777" w:rsidTr="5C9B80F5">
        <w:tc>
          <w:tcPr>
            <w:tcW w:w="6810" w:type="dxa"/>
            <w:shd w:val="clear" w:color="auto" w:fill="DBE5F1" w:themeFill="accent1" w:themeFillTint="33"/>
            <w:vAlign w:val="center"/>
          </w:tcPr>
          <w:p w14:paraId="34D43898" w14:textId="7288BFD6"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Those age 55 and older</w:t>
            </w:r>
          </w:p>
        </w:tc>
        <w:tc>
          <w:tcPr>
            <w:tcW w:w="1605" w:type="dxa"/>
            <w:shd w:val="clear" w:color="auto" w:fill="DBE5F1" w:themeFill="accent1" w:themeFillTint="33"/>
            <w:vAlign w:val="center"/>
          </w:tcPr>
          <w:p w14:paraId="04EE722A" w14:textId="5900CBAA" w:rsidR="5C9B80F5" w:rsidRDefault="5C9B80F5" w:rsidP="5C9B80F5">
            <w:pPr>
              <w:spacing w:after="200" w:line="276" w:lineRule="auto"/>
              <w:rPr>
                <w:rFonts w:ascii="Calibri" w:eastAsia="Calibri" w:hAnsi="Calibri" w:cs="Calibri"/>
              </w:rPr>
            </w:pPr>
            <w:r w:rsidRPr="5C9B80F5">
              <w:rPr>
                <w:rFonts w:ascii="Calibri" w:eastAsia="Calibri" w:hAnsi="Calibri" w:cs="Calibri"/>
              </w:rPr>
              <w:t>SCSEP and Core Partners</w:t>
            </w:r>
          </w:p>
        </w:tc>
        <w:tc>
          <w:tcPr>
            <w:tcW w:w="1905" w:type="dxa"/>
            <w:shd w:val="clear" w:color="auto" w:fill="DBE5F1" w:themeFill="accent1" w:themeFillTint="33"/>
            <w:vAlign w:val="center"/>
          </w:tcPr>
          <w:p w14:paraId="14BC6DBE" w14:textId="4DA8FA1E"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DBE5F1" w:themeFill="accent1" w:themeFillTint="33"/>
            <w:vAlign w:val="center"/>
          </w:tcPr>
          <w:p w14:paraId="59C3C26C" w14:textId="4FEC6BA3"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DBE5F1" w:themeFill="accent1" w:themeFillTint="33"/>
            <w:vAlign w:val="center"/>
          </w:tcPr>
          <w:p w14:paraId="6F9ADF84" w14:textId="03E32D9B"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13D6942E" w14:textId="77777777" w:rsidTr="5C9B80F5">
        <w:tc>
          <w:tcPr>
            <w:tcW w:w="6810" w:type="dxa"/>
            <w:shd w:val="clear" w:color="auto" w:fill="C6D9F1" w:themeFill="text2" w:themeFillTint="33"/>
            <w:vAlign w:val="center"/>
          </w:tcPr>
          <w:p w14:paraId="6BE209E9" w14:textId="16BEF2A6"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Justice-Involved Individuals</w:t>
            </w:r>
          </w:p>
        </w:tc>
        <w:tc>
          <w:tcPr>
            <w:tcW w:w="1605" w:type="dxa"/>
            <w:shd w:val="clear" w:color="auto" w:fill="C6D9F1" w:themeFill="text2" w:themeFillTint="33"/>
            <w:vAlign w:val="center"/>
          </w:tcPr>
          <w:p w14:paraId="67AEB67B" w14:textId="19F07518" w:rsidR="5C9B80F5" w:rsidRDefault="5C9B80F5" w:rsidP="5C9B80F5">
            <w:pPr>
              <w:spacing w:after="200" w:line="276" w:lineRule="auto"/>
              <w:rPr>
                <w:rFonts w:ascii="Calibri" w:eastAsia="Calibri" w:hAnsi="Calibri" w:cs="Calibri"/>
              </w:rPr>
            </w:pPr>
            <w:r w:rsidRPr="5C9B80F5">
              <w:rPr>
                <w:rFonts w:ascii="Calibri" w:eastAsia="Calibri" w:hAnsi="Calibri" w:cs="Calibri"/>
              </w:rPr>
              <w:t>Core Partners</w:t>
            </w:r>
          </w:p>
        </w:tc>
        <w:tc>
          <w:tcPr>
            <w:tcW w:w="1905" w:type="dxa"/>
            <w:shd w:val="clear" w:color="auto" w:fill="C6D9F1" w:themeFill="text2" w:themeFillTint="33"/>
            <w:vAlign w:val="center"/>
          </w:tcPr>
          <w:p w14:paraId="5FE7A629" w14:textId="3B0C1DB8"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C6D9F1" w:themeFill="text2" w:themeFillTint="33"/>
            <w:vAlign w:val="center"/>
          </w:tcPr>
          <w:p w14:paraId="6928129C" w14:textId="232F8BEC"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C6D9F1" w:themeFill="text2" w:themeFillTint="33"/>
            <w:vAlign w:val="center"/>
          </w:tcPr>
          <w:p w14:paraId="27AF717B" w14:textId="4A362753"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15A9722A" w14:textId="77777777" w:rsidTr="5C9B80F5">
        <w:tc>
          <w:tcPr>
            <w:tcW w:w="6810" w:type="dxa"/>
            <w:shd w:val="clear" w:color="auto" w:fill="DBE5F1" w:themeFill="accent1" w:themeFillTint="33"/>
            <w:vAlign w:val="center"/>
          </w:tcPr>
          <w:p w14:paraId="339B3642" w14:textId="11C3AFCA"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Individuals experiencing or have experienced homelessness</w:t>
            </w:r>
          </w:p>
        </w:tc>
        <w:tc>
          <w:tcPr>
            <w:tcW w:w="1605" w:type="dxa"/>
            <w:shd w:val="clear" w:color="auto" w:fill="DBE5F1" w:themeFill="accent1" w:themeFillTint="33"/>
            <w:vAlign w:val="center"/>
          </w:tcPr>
          <w:p w14:paraId="2C15C685" w14:textId="63B74606" w:rsidR="5C9B80F5" w:rsidRDefault="5C9B80F5" w:rsidP="5C9B80F5">
            <w:pPr>
              <w:spacing w:after="200" w:line="276" w:lineRule="auto"/>
              <w:rPr>
                <w:rFonts w:ascii="Calibri" w:eastAsia="Calibri" w:hAnsi="Calibri" w:cs="Calibri"/>
              </w:rPr>
            </w:pPr>
            <w:r w:rsidRPr="5C9B80F5">
              <w:rPr>
                <w:rFonts w:ascii="Calibri" w:eastAsia="Calibri" w:hAnsi="Calibri" w:cs="Calibri"/>
              </w:rPr>
              <w:t>Core Partners and Referrals</w:t>
            </w:r>
          </w:p>
        </w:tc>
        <w:tc>
          <w:tcPr>
            <w:tcW w:w="1905" w:type="dxa"/>
            <w:shd w:val="clear" w:color="auto" w:fill="DBE5F1" w:themeFill="accent1" w:themeFillTint="33"/>
            <w:vAlign w:val="center"/>
          </w:tcPr>
          <w:p w14:paraId="5795E7CA" w14:textId="2EA53F80"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DBE5F1" w:themeFill="accent1" w:themeFillTint="33"/>
            <w:vAlign w:val="center"/>
          </w:tcPr>
          <w:p w14:paraId="5A46A41F" w14:textId="0E83F328"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DBE5F1" w:themeFill="accent1" w:themeFillTint="33"/>
            <w:vAlign w:val="center"/>
          </w:tcPr>
          <w:p w14:paraId="5CA25EA9" w14:textId="166DCB12"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3D96DC47" w14:textId="77777777" w:rsidTr="5C9B80F5">
        <w:tc>
          <w:tcPr>
            <w:tcW w:w="6810" w:type="dxa"/>
            <w:shd w:val="clear" w:color="auto" w:fill="C6D9F1" w:themeFill="text2" w:themeFillTint="33"/>
            <w:vAlign w:val="center"/>
          </w:tcPr>
          <w:p w14:paraId="7F754CB5" w14:textId="12BA9CD0"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Youth in or have aged out of the foster care system</w:t>
            </w:r>
          </w:p>
        </w:tc>
        <w:tc>
          <w:tcPr>
            <w:tcW w:w="1605" w:type="dxa"/>
            <w:shd w:val="clear" w:color="auto" w:fill="C6D9F1" w:themeFill="text2" w:themeFillTint="33"/>
            <w:vAlign w:val="center"/>
          </w:tcPr>
          <w:p w14:paraId="3890BF18" w14:textId="430A9F30" w:rsidR="5C9B80F5" w:rsidRDefault="5C9B80F5" w:rsidP="5C9B80F5">
            <w:pPr>
              <w:spacing w:after="200" w:line="276" w:lineRule="auto"/>
              <w:rPr>
                <w:rFonts w:ascii="Calibri" w:eastAsia="Calibri" w:hAnsi="Calibri" w:cs="Calibri"/>
              </w:rPr>
            </w:pPr>
            <w:r w:rsidRPr="5C9B80F5">
              <w:rPr>
                <w:rFonts w:ascii="Calibri" w:eastAsia="Calibri" w:hAnsi="Calibri" w:cs="Calibri"/>
              </w:rPr>
              <w:t>Core Partners</w:t>
            </w:r>
          </w:p>
        </w:tc>
        <w:tc>
          <w:tcPr>
            <w:tcW w:w="1905" w:type="dxa"/>
            <w:shd w:val="clear" w:color="auto" w:fill="C6D9F1" w:themeFill="text2" w:themeFillTint="33"/>
            <w:vAlign w:val="center"/>
          </w:tcPr>
          <w:p w14:paraId="307E7B75" w14:textId="57A61CF1"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C6D9F1" w:themeFill="text2" w:themeFillTint="33"/>
            <w:vAlign w:val="center"/>
          </w:tcPr>
          <w:p w14:paraId="464BD6B1" w14:textId="6930849F"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C6D9F1" w:themeFill="text2" w:themeFillTint="33"/>
            <w:vAlign w:val="center"/>
          </w:tcPr>
          <w:p w14:paraId="2B6B17A0" w14:textId="4EBFAE13"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4229E7A9" w14:textId="77777777" w:rsidTr="5C9B80F5">
        <w:tc>
          <w:tcPr>
            <w:tcW w:w="6810" w:type="dxa"/>
            <w:shd w:val="clear" w:color="auto" w:fill="DBE5F1" w:themeFill="accent1" w:themeFillTint="33"/>
            <w:vAlign w:val="center"/>
          </w:tcPr>
          <w:p w14:paraId="44E15666" w14:textId="7F88A3E1"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Individuals who are English language learners, individuals who have low levels of literacy, individuals facing substantial cultural barriers</w:t>
            </w:r>
          </w:p>
        </w:tc>
        <w:tc>
          <w:tcPr>
            <w:tcW w:w="1605" w:type="dxa"/>
            <w:shd w:val="clear" w:color="auto" w:fill="DBE5F1" w:themeFill="accent1" w:themeFillTint="33"/>
            <w:vAlign w:val="center"/>
          </w:tcPr>
          <w:p w14:paraId="789FECB7" w14:textId="066D5919" w:rsidR="5C9B80F5" w:rsidRDefault="5C9B80F5" w:rsidP="5C9B80F5">
            <w:pPr>
              <w:spacing w:after="200" w:line="276" w:lineRule="auto"/>
              <w:rPr>
                <w:rFonts w:ascii="Calibri" w:eastAsia="Calibri" w:hAnsi="Calibri" w:cs="Calibri"/>
              </w:rPr>
            </w:pPr>
            <w:r w:rsidRPr="5C9B80F5">
              <w:rPr>
                <w:rFonts w:ascii="Calibri" w:eastAsia="Calibri" w:hAnsi="Calibri" w:cs="Calibri"/>
              </w:rPr>
              <w:t>Adult Education &amp; Core Partners</w:t>
            </w:r>
          </w:p>
        </w:tc>
        <w:tc>
          <w:tcPr>
            <w:tcW w:w="1905" w:type="dxa"/>
            <w:shd w:val="clear" w:color="auto" w:fill="DBE5F1" w:themeFill="accent1" w:themeFillTint="33"/>
            <w:vAlign w:val="center"/>
          </w:tcPr>
          <w:p w14:paraId="255D8F00" w14:textId="4105AB72"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DBE5F1" w:themeFill="accent1" w:themeFillTint="33"/>
            <w:vAlign w:val="center"/>
          </w:tcPr>
          <w:p w14:paraId="62764D69" w14:textId="2B91D72B"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DBE5F1" w:themeFill="accent1" w:themeFillTint="33"/>
            <w:vAlign w:val="center"/>
          </w:tcPr>
          <w:p w14:paraId="2BFCC559" w14:textId="7E8444DA"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35DA4D12" w14:textId="77777777" w:rsidTr="5C9B80F5">
        <w:tc>
          <w:tcPr>
            <w:tcW w:w="6810" w:type="dxa"/>
            <w:shd w:val="clear" w:color="auto" w:fill="C6D9F1" w:themeFill="text2" w:themeFillTint="33"/>
            <w:vAlign w:val="center"/>
          </w:tcPr>
          <w:p w14:paraId="047711E0" w14:textId="41CCD238"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Eligible Migrant and Seasonal Farmworkers</w:t>
            </w:r>
          </w:p>
        </w:tc>
        <w:tc>
          <w:tcPr>
            <w:tcW w:w="1605" w:type="dxa"/>
            <w:shd w:val="clear" w:color="auto" w:fill="C6D9F1" w:themeFill="text2" w:themeFillTint="33"/>
            <w:vAlign w:val="center"/>
          </w:tcPr>
          <w:p w14:paraId="11CEEDA8" w14:textId="244B226F" w:rsidR="5C9B80F5" w:rsidRDefault="5C9B80F5" w:rsidP="5C9B80F5">
            <w:pPr>
              <w:spacing w:after="200" w:line="276" w:lineRule="auto"/>
              <w:rPr>
                <w:rFonts w:ascii="Calibri" w:eastAsia="Calibri" w:hAnsi="Calibri" w:cs="Calibri"/>
              </w:rPr>
            </w:pPr>
            <w:r w:rsidRPr="5C9B80F5">
              <w:rPr>
                <w:rFonts w:ascii="Calibri" w:eastAsia="Calibri" w:hAnsi="Calibri" w:cs="Calibri"/>
              </w:rPr>
              <w:t>Core Partners</w:t>
            </w:r>
          </w:p>
        </w:tc>
        <w:tc>
          <w:tcPr>
            <w:tcW w:w="1905" w:type="dxa"/>
            <w:shd w:val="clear" w:color="auto" w:fill="C6D9F1" w:themeFill="text2" w:themeFillTint="33"/>
            <w:vAlign w:val="center"/>
          </w:tcPr>
          <w:p w14:paraId="05D9FE76" w14:textId="5C03093C"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C6D9F1" w:themeFill="text2" w:themeFillTint="33"/>
            <w:vAlign w:val="center"/>
          </w:tcPr>
          <w:p w14:paraId="54810E87" w14:textId="3488DA59"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C6D9F1" w:themeFill="text2" w:themeFillTint="33"/>
            <w:vAlign w:val="center"/>
          </w:tcPr>
          <w:p w14:paraId="0A8F7D8B" w14:textId="3AF4AC7E"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36CDD0B2" w14:textId="77777777" w:rsidTr="5C9B80F5">
        <w:tc>
          <w:tcPr>
            <w:tcW w:w="6810" w:type="dxa"/>
            <w:shd w:val="clear" w:color="auto" w:fill="DBE5F1" w:themeFill="accent1" w:themeFillTint="33"/>
            <w:vAlign w:val="center"/>
          </w:tcPr>
          <w:p w14:paraId="70909F79" w14:textId="35DEAC34"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Individuals within two years of exhausting lifetime TANF eligibility</w:t>
            </w:r>
          </w:p>
        </w:tc>
        <w:tc>
          <w:tcPr>
            <w:tcW w:w="1605" w:type="dxa"/>
            <w:shd w:val="clear" w:color="auto" w:fill="DBE5F1" w:themeFill="accent1" w:themeFillTint="33"/>
            <w:vAlign w:val="center"/>
          </w:tcPr>
          <w:p w14:paraId="2A86F4A4" w14:textId="22C0A08E" w:rsidR="5C9B80F5" w:rsidRDefault="5C9B80F5" w:rsidP="5C9B80F5">
            <w:pPr>
              <w:spacing w:after="200" w:line="276" w:lineRule="auto"/>
              <w:rPr>
                <w:rFonts w:ascii="Calibri" w:eastAsia="Calibri" w:hAnsi="Calibri" w:cs="Calibri"/>
              </w:rPr>
            </w:pPr>
            <w:r w:rsidRPr="5C9B80F5">
              <w:rPr>
                <w:rFonts w:ascii="Calibri" w:eastAsia="Calibri" w:hAnsi="Calibri" w:cs="Calibri"/>
              </w:rPr>
              <w:t>Core Partners</w:t>
            </w:r>
          </w:p>
        </w:tc>
        <w:tc>
          <w:tcPr>
            <w:tcW w:w="1905" w:type="dxa"/>
            <w:shd w:val="clear" w:color="auto" w:fill="DBE5F1" w:themeFill="accent1" w:themeFillTint="33"/>
            <w:vAlign w:val="center"/>
          </w:tcPr>
          <w:p w14:paraId="5A4D6EAC" w14:textId="095129BD"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DBE5F1" w:themeFill="accent1" w:themeFillTint="33"/>
            <w:vAlign w:val="center"/>
          </w:tcPr>
          <w:p w14:paraId="1C673025" w14:textId="0122AEA7"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DBE5F1" w:themeFill="accent1" w:themeFillTint="33"/>
            <w:vAlign w:val="center"/>
          </w:tcPr>
          <w:p w14:paraId="4FB2A6CB" w14:textId="13EBD6B1"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09BB97B8" w14:textId="77777777" w:rsidTr="5C9B80F5">
        <w:tc>
          <w:tcPr>
            <w:tcW w:w="6810" w:type="dxa"/>
            <w:shd w:val="clear" w:color="auto" w:fill="C6D9F1" w:themeFill="text2" w:themeFillTint="33"/>
            <w:vAlign w:val="center"/>
          </w:tcPr>
          <w:p w14:paraId="605341B2" w14:textId="4BA36E08"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Single parents, including pregnant women</w:t>
            </w:r>
          </w:p>
        </w:tc>
        <w:tc>
          <w:tcPr>
            <w:tcW w:w="1605" w:type="dxa"/>
            <w:shd w:val="clear" w:color="auto" w:fill="C6D9F1" w:themeFill="text2" w:themeFillTint="33"/>
            <w:vAlign w:val="center"/>
          </w:tcPr>
          <w:p w14:paraId="63876390" w14:textId="5291329C" w:rsidR="5C9B80F5" w:rsidRDefault="5C9B80F5" w:rsidP="5C9B80F5">
            <w:pPr>
              <w:spacing w:after="200" w:line="276" w:lineRule="auto"/>
              <w:rPr>
                <w:rFonts w:ascii="Calibri" w:eastAsia="Calibri" w:hAnsi="Calibri" w:cs="Calibri"/>
              </w:rPr>
            </w:pPr>
            <w:r w:rsidRPr="5C9B80F5">
              <w:rPr>
                <w:rFonts w:ascii="Calibri" w:eastAsia="Calibri" w:hAnsi="Calibri" w:cs="Calibri"/>
              </w:rPr>
              <w:t>SNAP E &amp; T Core Partners</w:t>
            </w:r>
          </w:p>
        </w:tc>
        <w:tc>
          <w:tcPr>
            <w:tcW w:w="1905" w:type="dxa"/>
            <w:shd w:val="clear" w:color="auto" w:fill="C6D9F1" w:themeFill="text2" w:themeFillTint="33"/>
            <w:vAlign w:val="center"/>
          </w:tcPr>
          <w:p w14:paraId="0B743C4D" w14:textId="42293E3B"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C6D9F1" w:themeFill="text2" w:themeFillTint="33"/>
            <w:vAlign w:val="center"/>
          </w:tcPr>
          <w:p w14:paraId="6681A8D7" w14:textId="130422FF"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C6D9F1" w:themeFill="text2" w:themeFillTint="33"/>
            <w:vAlign w:val="center"/>
          </w:tcPr>
          <w:p w14:paraId="69B23C4C" w14:textId="2AE8DE28"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59F883C9" w14:textId="77777777" w:rsidTr="5C9B80F5">
        <w:tc>
          <w:tcPr>
            <w:tcW w:w="6810" w:type="dxa"/>
            <w:shd w:val="clear" w:color="auto" w:fill="DBE5F1" w:themeFill="accent1" w:themeFillTint="33"/>
            <w:vAlign w:val="center"/>
          </w:tcPr>
          <w:p w14:paraId="1BDECAC4" w14:textId="0340B2FC"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 xml:space="preserve">Long-term unemployed (unemployed for 27 or more consecutive </w:t>
            </w:r>
            <w:r w:rsidRPr="5C9B80F5">
              <w:rPr>
                <w:rFonts w:ascii="Calibri" w:eastAsia="Calibri" w:hAnsi="Calibri" w:cs="Calibri"/>
                <w:b/>
                <w:bCs/>
              </w:rPr>
              <w:lastRenderedPageBreak/>
              <w:t>weeks)</w:t>
            </w:r>
          </w:p>
        </w:tc>
        <w:tc>
          <w:tcPr>
            <w:tcW w:w="1605" w:type="dxa"/>
            <w:shd w:val="clear" w:color="auto" w:fill="DBE5F1" w:themeFill="accent1" w:themeFillTint="33"/>
            <w:vAlign w:val="center"/>
          </w:tcPr>
          <w:p w14:paraId="163DA3EF" w14:textId="33F6D05A" w:rsidR="5C9B80F5" w:rsidRDefault="5C9B80F5" w:rsidP="5C9B80F5">
            <w:pPr>
              <w:spacing w:after="200" w:line="276" w:lineRule="auto"/>
              <w:rPr>
                <w:rFonts w:ascii="Calibri" w:eastAsia="Calibri" w:hAnsi="Calibri" w:cs="Calibri"/>
              </w:rPr>
            </w:pPr>
            <w:r w:rsidRPr="5C9B80F5">
              <w:rPr>
                <w:rFonts w:ascii="Calibri" w:eastAsia="Calibri" w:hAnsi="Calibri" w:cs="Calibri"/>
              </w:rPr>
              <w:lastRenderedPageBreak/>
              <w:t>Core Partners</w:t>
            </w:r>
          </w:p>
        </w:tc>
        <w:tc>
          <w:tcPr>
            <w:tcW w:w="1905" w:type="dxa"/>
            <w:shd w:val="clear" w:color="auto" w:fill="DBE5F1" w:themeFill="accent1" w:themeFillTint="33"/>
            <w:vAlign w:val="center"/>
          </w:tcPr>
          <w:p w14:paraId="765E587C" w14:textId="7190DFF6"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DBE5F1" w:themeFill="accent1" w:themeFillTint="33"/>
            <w:vAlign w:val="center"/>
          </w:tcPr>
          <w:p w14:paraId="50A6723C" w14:textId="2D4ADBC6"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DBE5F1" w:themeFill="accent1" w:themeFillTint="33"/>
            <w:vAlign w:val="center"/>
          </w:tcPr>
          <w:p w14:paraId="3370F840" w14:textId="09B6F19B"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r w:rsidR="5C9B80F5" w14:paraId="547A7B5C" w14:textId="77777777" w:rsidTr="5C9B80F5">
        <w:tc>
          <w:tcPr>
            <w:tcW w:w="6810" w:type="dxa"/>
            <w:shd w:val="clear" w:color="auto" w:fill="C6D9F1" w:themeFill="text2" w:themeFillTint="33"/>
            <w:vAlign w:val="center"/>
          </w:tcPr>
          <w:p w14:paraId="126AC7C8" w14:textId="1FE4A976" w:rsidR="5C9B80F5" w:rsidRDefault="5C9B80F5" w:rsidP="5C9B80F5">
            <w:pPr>
              <w:spacing w:after="200" w:line="276" w:lineRule="auto"/>
              <w:rPr>
                <w:rFonts w:ascii="Calibri" w:eastAsia="Calibri" w:hAnsi="Calibri" w:cs="Calibri"/>
              </w:rPr>
            </w:pPr>
            <w:r w:rsidRPr="5C9B80F5">
              <w:rPr>
                <w:rFonts w:ascii="Calibri" w:eastAsia="Calibri" w:hAnsi="Calibri" w:cs="Calibri"/>
                <w:b/>
                <w:bCs/>
              </w:rPr>
              <w:t>Other groups as the Governor determines to have barriers to employment</w:t>
            </w:r>
          </w:p>
        </w:tc>
        <w:tc>
          <w:tcPr>
            <w:tcW w:w="1605" w:type="dxa"/>
            <w:shd w:val="clear" w:color="auto" w:fill="C6D9F1" w:themeFill="text2" w:themeFillTint="33"/>
            <w:vAlign w:val="center"/>
          </w:tcPr>
          <w:p w14:paraId="0A8CC25D" w14:textId="264D2EFE" w:rsidR="5C9B80F5" w:rsidRDefault="5C9B80F5" w:rsidP="5C9B80F5">
            <w:pPr>
              <w:spacing w:after="200" w:line="276" w:lineRule="auto"/>
              <w:rPr>
                <w:rFonts w:ascii="Calibri" w:eastAsia="Calibri" w:hAnsi="Calibri" w:cs="Calibri"/>
              </w:rPr>
            </w:pPr>
            <w:r w:rsidRPr="5C9B80F5">
              <w:rPr>
                <w:rFonts w:ascii="Calibri" w:eastAsia="Calibri" w:hAnsi="Calibri" w:cs="Calibri"/>
              </w:rPr>
              <w:t>Core Partners</w:t>
            </w:r>
          </w:p>
          <w:p w14:paraId="312BE553" w14:textId="7DB482EB" w:rsidR="5C9B80F5" w:rsidRDefault="5C9B80F5" w:rsidP="5C9B80F5">
            <w:pPr>
              <w:spacing w:after="200" w:line="276" w:lineRule="auto"/>
              <w:rPr>
                <w:rFonts w:ascii="Calibri" w:eastAsia="Calibri" w:hAnsi="Calibri" w:cs="Calibri"/>
              </w:rPr>
            </w:pPr>
          </w:p>
        </w:tc>
        <w:tc>
          <w:tcPr>
            <w:tcW w:w="1905" w:type="dxa"/>
            <w:shd w:val="clear" w:color="auto" w:fill="C6D9F1" w:themeFill="text2" w:themeFillTint="33"/>
            <w:vAlign w:val="center"/>
          </w:tcPr>
          <w:p w14:paraId="3D7DE782" w14:textId="76A18188"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1</w:t>
            </w:r>
          </w:p>
        </w:tc>
        <w:tc>
          <w:tcPr>
            <w:tcW w:w="1875" w:type="dxa"/>
            <w:shd w:val="clear" w:color="auto" w:fill="C6D9F1" w:themeFill="text2" w:themeFillTint="33"/>
            <w:vAlign w:val="center"/>
          </w:tcPr>
          <w:p w14:paraId="61C1E2A8" w14:textId="3E493883" w:rsidR="5C9B80F5" w:rsidRDefault="5C9B80F5" w:rsidP="5C9B80F5">
            <w:pPr>
              <w:spacing w:after="200" w:line="276" w:lineRule="auto"/>
              <w:rPr>
                <w:rFonts w:ascii="Calibri" w:eastAsia="Calibri" w:hAnsi="Calibri" w:cs="Calibri"/>
              </w:rPr>
            </w:pPr>
            <w:r w:rsidRPr="5C9B80F5">
              <w:rPr>
                <w:rFonts w:ascii="Calibri" w:eastAsia="Calibri" w:hAnsi="Calibri" w:cs="Calibri"/>
              </w:rPr>
              <w:t>See Paragraph 2</w:t>
            </w:r>
          </w:p>
        </w:tc>
        <w:tc>
          <w:tcPr>
            <w:tcW w:w="2344" w:type="dxa"/>
            <w:shd w:val="clear" w:color="auto" w:fill="C6D9F1" w:themeFill="text2" w:themeFillTint="33"/>
            <w:vAlign w:val="center"/>
          </w:tcPr>
          <w:p w14:paraId="1C5858A2" w14:textId="09A9B038" w:rsidR="5C9B80F5" w:rsidRDefault="5C9B80F5" w:rsidP="5C9B80F5">
            <w:pPr>
              <w:spacing w:after="200" w:line="276" w:lineRule="auto"/>
              <w:rPr>
                <w:rFonts w:ascii="Calibri" w:eastAsia="Calibri" w:hAnsi="Calibri" w:cs="Calibri"/>
              </w:rPr>
            </w:pPr>
            <w:r w:rsidRPr="5C9B80F5">
              <w:rPr>
                <w:rFonts w:ascii="Calibri" w:eastAsia="Calibri" w:hAnsi="Calibri" w:cs="Calibri"/>
              </w:rPr>
              <w:t>Monthly and Quarterly</w:t>
            </w:r>
          </w:p>
        </w:tc>
      </w:tr>
    </w:tbl>
    <w:p w14:paraId="154814F3" w14:textId="001B0CE2" w:rsidR="00A93921" w:rsidRPr="004B2CE8" w:rsidRDefault="00A93921" w:rsidP="5C9B80F5">
      <w:pPr>
        <w:spacing w:after="200" w:line="276" w:lineRule="auto"/>
        <w:rPr>
          <w:rFonts w:ascii="Calibri" w:eastAsia="Calibri" w:hAnsi="Calibri" w:cs="Calibri"/>
        </w:rPr>
      </w:pPr>
    </w:p>
    <w:p w14:paraId="322558FA" w14:textId="53E9442B" w:rsidR="00A93921" w:rsidRPr="004B2CE8" w:rsidRDefault="5C9B80F5" w:rsidP="5C9B80F5">
      <w:pPr>
        <w:spacing w:after="200" w:line="276" w:lineRule="auto"/>
        <w:jc w:val="both"/>
        <w:rPr>
          <w:rFonts w:ascii="Calibri" w:eastAsia="Calibri" w:hAnsi="Calibri" w:cs="Calibri"/>
          <w:b/>
          <w:bCs/>
        </w:rPr>
      </w:pPr>
      <w:r w:rsidRPr="5C9B80F5">
        <w:rPr>
          <w:rFonts w:ascii="Calibri" w:eastAsia="Calibri" w:hAnsi="Calibri" w:cs="Calibri"/>
          <w:b/>
          <w:bCs/>
        </w:rPr>
        <w:t xml:space="preserve">Paragraph #1 </w:t>
      </w:r>
    </w:p>
    <w:p w14:paraId="1DC4692C" w14:textId="0699D9FA" w:rsidR="00A93921" w:rsidRPr="004B2CE8" w:rsidRDefault="5C9B80F5" w:rsidP="5C9B80F5">
      <w:pPr>
        <w:spacing w:after="200" w:line="276" w:lineRule="auto"/>
        <w:jc w:val="both"/>
        <w:rPr>
          <w:rFonts w:ascii="Calibri" w:eastAsia="Calibri" w:hAnsi="Calibri" w:cs="Calibri"/>
          <w:b/>
          <w:bCs/>
        </w:rPr>
      </w:pPr>
      <w:r w:rsidRPr="5C9B80F5">
        <w:rPr>
          <w:rFonts w:ascii="Calibri" w:eastAsia="Calibri" w:hAnsi="Calibri" w:cs="Calibri"/>
          <w:b/>
          <w:bCs/>
        </w:rPr>
        <w:t xml:space="preserve">The OSO, through quarterly cross trainings, coordinates the activities of all core partners in the ETLWDA American Job Centers to ensure that services are provided effectively, resulting in referrals between those core partners (Title 1 (Employment &amp; Training), Title II (Adult Education), Title III (job service), and SNAP E&amp;T, Title IV (Vocational Rehabilitation), and Tennessee Assistance </w:t>
      </w:r>
      <w:r w:rsidR="001744B2">
        <w:rPr>
          <w:rFonts w:ascii="Calibri" w:eastAsia="Calibri" w:hAnsi="Calibri" w:cs="Calibri"/>
          <w:b/>
          <w:bCs/>
        </w:rPr>
        <w:t>for Needy Families).  When necessary, staff will make refe</w:t>
      </w:r>
      <w:r w:rsidRPr="5C9B80F5">
        <w:rPr>
          <w:rFonts w:ascii="Calibri" w:eastAsia="Calibri" w:hAnsi="Calibri" w:cs="Calibri"/>
          <w:b/>
          <w:bCs/>
        </w:rPr>
        <w:t>rral</w:t>
      </w:r>
      <w:r w:rsidR="001744B2">
        <w:rPr>
          <w:rFonts w:ascii="Calibri" w:eastAsia="Calibri" w:hAnsi="Calibri" w:cs="Calibri"/>
          <w:b/>
          <w:bCs/>
        </w:rPr>
        <w:t xml:space="preserve">s </w:t>
      </w:r>
      <w:r w:rsidRPr="5C9B80F5">
        <w:rPr>
          <w:rFonts w:ascii="Calibri" w:eastAsia="Calibri" w:hAnsi="Calibri" w:cs="Calibri"/>
          <w:b/>
          <w:bCs/>
        </w:rPr>
        <w:t>to</w:t>
      </w:r>
      <w:r w:rsidR="001744B2">
        <w:rPr>
          <w:rFonts w:ascii="Calibri" w:eastAsia="Calibri" w:hAnsi="Calibri" w:cs="Calibri"/>
          <w:b/>
          <w:bCs/>
        </w:rPr>
        <w:t xml:space="preserve"> organizations</w:t>
      </w:r>
      <w:r w:rsidRPr="5C9B80F5">
        <w:rPr>
          <w:rFonts w:ascii="Calibri" w:eastAsia="Calibri" w:hAnsi="Calibri" w:cs="Calibri"/>
          <w:b/>
          <w:bCs/>
        </w:rPr>
        <w:t xml:space="preserve"> outside the AJC.  ETLWDA conducts a quarterly partner meeting, where community and faith-based organizations share information about services that may benefit individuals experiencing Significant Barriers to Employment. </w:t>
      </w:r>
    </w:p>
    <w:p w14:paraId="626DFF92" w14:textId="345111B0" w:rsidR="00A93921" w:rsidRPr="004B2CE8" w:rsidRDefault="5C9B80F5" w:rsidP="5C9B80F5">
      <w:pPr>
        <w:spacing w:after="200" w:line="276" w:lineRule="auto"/>
        <w:jc w:val="both"/>
        <w:rPr>
          <w:rFonts w:ascii="Calibri" w:eastAsia="Calibri" w:hAnsi="Calibri" w:cs="Calibri"/>
          <w:b/>
          <w:bCs/>
        </w:rPr>
      </w:pPr>
      <w:r w:rsidRPr="5C9B80F5">
        <w:rPr>
          <w:rFonts w:ascii="Calibri" w:eastAsia="Calibri" w:hAnsi="Calibri" w:cs="Calibri"/>
          <w:b/>
          <w:bCs/>
        </w:rPr>
        <w:t xml:space="preserve">Paragraph #2 </w:t>
      </w:r>
    </w:p>
    <w:p w14:paraId="78CA1209" w14:textId="3240384B" w:rsidR="00A93921" w:rsidRPr="004B2CE8" w:rsidRDefault="5C9B80F5" w:rsidP="5C9B80F5">
      <w:pPr>
        <w:spacing w:after="200" w:line="276" w:lineRule="auto"/>
        <w:jc w:val="both"/>
        <w:rPr>
          <w:rFonts w:ascii="Calibri" w:eastAsia="Calibri" w:hAnsi="Calibri" w:cs="Calibri"/>
          <w:b/>
          <w:bCs/>
        </w:rPr>
      </w:pPr>
      <w:r w:rsidRPr="5C9B80F5">
        <w:rPr>
          <w:rFonts w:ascii="Calibri" w:eastAsia="Calibri" w:hAnsi="Calibri" w:cs="Calibri"/>
          <w:b/>
          <w:bCs/>
        </w:rPr>
        <w:t>Core partners are aware of the specific supportive services available throughout the American Job Center system.  Partners share a common menu of supportive services to meet the needs of individuals experiencing Significant Barriers to Employment such as transportation assistance, childcare, medical, and other support including but not limited to housing (rent and utilities), tools, clothing, and items needed for work.</w:t>
      </w:r>
    </w:p>
    <w:p w14:paraId="1646A993" w14:textId="2CDE9AE8" w:rsidR="00A93921" w:rsidRPr="004B2CE8" w:rsidRDefault="00101193" w:rsidP="5C9B80F5">
      <w:pPr>
        <w:spacing w:after="200" w:line="276" w:lineRule="auto"/>
      </w:pPr>
      <w:r>
        <w:rPr>
          <w:noProof/>
        </w:rPr>
        <w:drawing>
          <wp:inline distT="0" distB="0" distL="0" distR="0" wp14:anchorId="59A172BD" wp14:editId="59A9CA48">
            <wp:extent cx="9229725" cy="581025"/>
            <wp:effectExtent l="0" t="0" r="0" b="0"/>
            <wp:docPr id="1003440816" name="Picture 100344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29725" cy="581025"/>
                    </a:xfrm>
                    <a:prstGeom prst="rect">
                      <a:avLst/>
                    </a:prstGeom>
                  </pic:spPr>
                </pic:pic>
              </a:graphicData>
            </a:graphic>
          </wp:inline>
        </w:drawing>
      </w:r>
    </w:p>
    <w:p w14:paraId="3A5B3A5F" w14:textId="4E946E5A" w:rsidR="00A93921" w:rsidRPr="004B2CE8" w:rsidRDefault="5C9B80F5" w:rsidP="5C9B80F5">
      <w:pPr>
        <w:spacing w:after="200" w:line="276" w:lineRule="auto"/>
        <w:rPr>
          <w:rFonts w:ascii="Times New Roman" w:eastAsia="Times New Roman" w:hAnsi="Times New Roman" w:cs="Times New Roman"/>
          <w:i/>
          <w:iCs/>
          <w:color w:val="89898C"/>
          <w:sz w:val="24"/>
          <w:szCs w:val="24"/>
        </w:rPr>
      </w:pPr>
      <w:r w:rsidRPr="5C9B80F5">
        <w:rPr>
          <w:rFonts w:ascii="Times New Roman" w:eastAsia="Times New Roman" w:hAnsi="Times New Roman" w:cs="Times New Roman"/>
          <w:b/>
          <w:bCs/>
          <w:sz w:val="24"/>
          <w:szCs w:val="24"/>
        </w:rPr>
        <w:t>7</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Budget Information.  Provide a detailed budget that lists the sources and uses of Tennessee Department of Labor and Workforce Development (TDLWD) pass-through funds and all non-Federal matching funds by completing a provided budget toolkit (424A).</w:t>
      </w:r>
    </w:p>
    <w:p w14:paraId="163E57B7" w14:textId="4F79DEE3" w:rsidR="00651CD8" w:rsidRPr="00651CD8" w:rsidRDefault="00651CD8" w:rsidP="5DBB758F">
      <w:pPr>
        <w:rPr>
          <w:sz w:val="24"/>
          <w:szCs w:val="24"/>
          <w:highlight w:val="yellow"/>
        </w:rPr>
      </w:pPr>
    </w:p>
    <w:p w14:paraId="0625741D" w14:textId="302FC7FD" w:rsidR="00651CD8" w:rsidRPr="00651CD8" w:rsidRDefault="00651CD8" w:rsidP="5DBB758F">
      <w:pPr>
        <w:rPr>
          <w:sz w:val="24"/>
          <w:szCs w:val="24"/>
          <w:highlight w:val="yellow"/>
        </w:rPr>
      </w:pPr>
    </w:p>
    <w:p w14:paraId="77FD210E" w14:textId="78A922FA" w:rsidR="00651CD8" w:rsidRPr="00651CD8" w:rsidRDefault="00651CD8" w:rsidP="5DBB758F">
      <w:pPr>
        <w:rPr>
          <w:sz w:val="24"/>
          <w:szCs w:val="24"/>
          <w:highlight w:val="yellow"/>
        </w:rPr>
      </w:pPr>
    </w:p>
    <w:p w14:paraId="6F3FAC82" w14:textId="03F56B2F" w:rsidR="00651CD8" w:rsidRPr="00651CD8" w:rsidRDefault="00651CD8" w:rsidP="5DBB758F">
      <w:pPr>
        <w:rPr>
          <w:sz w:val="24"/>
          <w:szCs w:val="24"/>
          <w:highlight w:val="yellow"/>
        </w:rPr>
      </w:pPr>
    </w:p>
    <w:p w14:paraId="4C936CA1" w14:textId="1BD2BDD8" w:rsidR="00651CD8" w:rsidRPr="00651CD8" w:rsidRDefault="00651CD8" w:rsidP="5DBB758F"/>
    <w:p w14:paraId="67DEF670" w14:textId="2DECA8F4" w:rsidR="00651CD8" w:rsidRPr="00651CD8" w:rsidRDefault="00651CD8" w:rsidP="3132D044">
      <w:pPr>
        <w:tabs>
          <w:tab w:val="left" w:pos="350"/>
        </w:tabs>
      </w:pPr>
      <w:r>
        <w:rPr>
          <w:noProof/>
        </w:rPr>
        <w:lastRenderedPageBreak/>
        <w:drawing>
          <wp:inline distT="0" distB="0" distL="0" distR="0" wp14:anchorId="48162A23" wp14:editId="0EC96142">
            <wp:extent cx="9525000" cy="8420101"/>
            <wp:effectExtent l="0" t="0" r="0" b="0"/>
            <wp:docPr id="775138209" name="Picture 77513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525000" cy="8420101"/>
                    </a:xfrm>
                    <a:prstGeom prst="rect">
                      <a:avLst/>
                    </a:prstGeom>
                  </pic:spPr>
                </pic:pic>
              </a:graphicData>
            </a:graphic>
          </wp:inline>
        </w:drawing>
      </w:r>
      <w:r>
        <w:rPr>
          <w:noProof/>
        </w:rPr>
        <w:lastRenderedPageBreak/>
        <w:drawing>
          <wp:inline distT="0" distB="0" distL="0" distR="0" wp14:anchorId="0A73CAD8" wp14:editId="622EF538">
            <wp:extent cx="9601200" cy="7058025"/>
            <wp:effectExtent l="0" t="0" r="0" b="0"/>
            <wp:docPr id="1823547107" name="Picture 182354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601200" cy="7058025"/>
                    </a:xfrm>
                    <a:prstGeom prst="rect">
                      <a:avLst/>
                    </a:prstGeom>
                  </pic:spPr>
                </pic:pic>
              </a:graphicData>
            </a:graphic>
          </wp:inline>
        </w:drawing>
      </w:r>
      <w:r>
        <w:rPr>
          <w:noProof/>
        </w:rPr>
        <w:lastRenderedPageBreak/>
        <w:drawing>
          <wp:inline distT="0" distB="0" distL="0" distR="0" wp14:anchorId="09CF97FE" wp14:editId="540C8326">
            <wp:extent cx="9591675" cy="7048500"/>
            <wp:effectExtent l="0" t="0" r="0" b="0"/>
            <wp:docPr id="1627928332" name="Picture 162792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591675" cy="7048500"/>
                    </a:xfrm>
                    <a:prstGeom prst="rect">
                      <a:avLst/>
                    </a:prstGeom>
                  </pic:spPr>
                </pic:pic>
              </a:graphicData>
            </a:graphic>
          </wp:inline>
        </w:drawing>
      </w:r>
      <w:r>
        <w:rPr>
          <w:noProof/>
        </w:rPr>
        <w:lastRenderedPageBreak/>
        <w:drawing>
          <wp:inline distT="0" distB="0" distL="0" distR="0" wp14:anchorId="7604A10C" wp14:editId="37BC99F0">
            <wp:extent cx="9601200" cy="7505700"/>
            <wp:effectExtent l="0" t="0" r="0" b="0"/>
            <wp:docPr id="511355267" name="Picture 51135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601200" cy="7505700"/>
                    </a:xfrm>
                    <a:prstGeom prst="rect">
                      <a:avLst/>
                    </a:prstGeom>
                  </pic:spPr>
                </pic:pic>
              </a:graphicData>
            </a:graphic>
          </wp:inline>
        </w:drawing>
      </w:r>
      <w:r>
        <w:rPr>
          <w:noProof/>
        </w:rPr>
        <w:lastRenderedPageBreak/>
        <w:drawing>
          <wp:inline distT="0" distB="0" distL="0" distR="0" wp14:anchorId="76B88A11" wp14:editId="5EB2B28A">
            <wp:extent cx="9620250" cy="7277100"/>
            <wp:effectExtent l="0" t="0" r="0" b="0"/>
            <wp:docPr id="36178084" name="Picture 3617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620250" cy="7277100"/>
                    </a:xfrm>
                    <a:prstGeom prst="rect">
                      <a:avLst/>
                    </a:prstGeom>
                  </pic:spPr>
                </pic:pic>
              </a:graphicData>
            </a:graphic>
          </wp:inline>
        </w:drawing>
      </w:r>
      <w:r>
        <w:rPr>
          <w:noProof/>
        </w:rPr>
        <w:lastRenderedPageBreak/>
        <w:drawing>
          <wp:inline distT="0" distB="0" distL="0" distR="0" wp14:anchorId="4E008020" wp14:editId="055798DC">
            <wp:extent cx="9620250" cy="7305675"/>
            <wp:effectExtent l="0" t="0" r="0" b="0"/>
            <wp:docPr id="1715894205" name="Picture 17158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620250" cy="7305675"/>
                    </a:xfrm>
                    <a:prstGeom prst="rect">
                      <a:avLst/>
                    </a:prstGeom>
                  </pic:spPr>
                </pic:pic>
              </a:graphicData>
            </a:graphic>
          </wp:inline>
        </w:drawing>
      </w:r>
    </w:p>
    <w:p w14:paraId="0512BE1F" w14:textId="1268FB1F" w:rsidR="5DBB758F" w:rsidRDefault="5DBB758F" w:rsidP="5DBB758F">
      <w:pPr>
        <w:tabs>
          <w:tab w:val="left" w:pos="350"/>
        </w:tabs>
      </w:pPr>
    </w:p>
    <w:p w14:paraId="27D9CD7A" w14:textId="64E5F0ED" w:rsidR="00101193" w:rsidRDefault="5C9B80F5" w:rsidP="5C9B80F5">
      <w:pPr>
        <w:tabs>
          <w:tab w:val="left" w:pos="270"/>
        </w:tabs>
        <w:jc w:val="both"/>
        <w:rPr>
          <w:rFonts w:ascii="Times New Roman" w:eastAsia="Times New Roman" w:hAnsi="Times New Roman" w:cs="Times New Roman"/>
          <w:i/>
          <w:iCs/>
          <w:color w:val="3D3B42"/>
          <w:sz w:val="24"/>
          <w:szCs w:val="24"/>
        </w:rPr>
      </w:pPr>
      <w:r w:rsidRPr="5C9B80F5">
        <w:rPr>
          <w:rFonts w:ascii="Times New Roman" w:eastAsia="Times New Roman" w:hAnsi="Times New Roman" w:cs="Times New Roman"/>
          <w:b/>
          <w:bCs/>
          <w:sz w:val="24"/>
          <w:szCs w:val="24"/>
        </w:rPr>
        <w:t>8b.</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As WIOA Title I formula allocations continue to decline, how does your LWDB leverage partner resources (funding, other) to help further sustain WIOA programs and services to job seekers and employers?</w:t>
      </w:r>
    </w:p>
    <w:p w14:paraId="624C4518" w14:textId="05C821C2" w:rsidR="00651CD8" w:rsidRDefault="5C9B80F5" w:rsidP="5C9B80F5">
      <w:pPr>
        <w:jc w:val="both"/>
        <w:rPr>
          <w:rFonts w:ascii="Times New Roman" w:eastAsia="Times New Roman" w:hAnsi="Times New Roman" w:cs="Times New Roman"/>
          <w:b/>
          <w:bCs/>
          <w:color w:val="2F2F34"/>
          <w:sz w:val="24"/>
          <w:szCs w:val="24"/>
        </w:rPr>
      </w:pPr>
      <w:r w:rsidRPr="5C9B80F5">
        <w:rPr>
          <w:rFonts w:ascii="Times New Roman" w:eastAsia="Times New Roman" w:hAnsi="Times New Roman" w:cs="Times New Roman"/>
          <w:b/>
          <w:bCs/>
          <w:sz w:val="24"/>
          <w:szCs w:val="24"/>
        </w:rPr>
        <w:t xml:space="preserve">The East Tennessee Local Workforce Development Board advocates co-enrollment with all partners of the service delivery network.  This braiding of funds reduces the fiscal strain on Title I formula allocations.  Strong community partnerships and recognition of the resources available lessens the strain of all program/partner funds.  All partners in the service delivery network are aware of and utilize the Tennessee Disability Pathfinder, </w:t>
      </w:r>
      <w:hyperlink r:id="rId21">
        <w:r w:rsidRPr="5C9B80F5">
          <w:rPr>
            <w:rStyle w:val="Hyperlink"/>
            <w:rFonts w:ascii="Times New Roman" w:eastAsia="Times New Roman" w:hAnsi="Times New Roman" w:cs="Times New Roman"/>
            <w:b/>
            <w:bCs/>
            <w:sz w:val="24"/>
            <w:szCs w:val="24"/>
          </w:rPr>
          <w:t>http://www.tnpathfinder.org</w:t>
        </w:r>
      </w:hyperlink>
      <w:r w:rsidRPr="5C9B80F5">
        <w:rPr>
          <w:rFonts w:ascii="Times New Roman" w:eastAsia="Times New Roman" w:hAnsi="Times New Roman" w:cs="Times New Roman"/>
          <w:b/>
          <w:bCs/>
          <w:sz w:val="24"/>
          <w:szCs w:val="24"/>
        </w:rPr>
        <w:t xml:space="preserve"> to determine other available resources.  </w:t>
      </w:r>
    </w:p>
    <w:p w14:paraId="1D43400A" w14:textId="26639379" w:rsidR="2B7E579D" w:rsidRDefault="2B7E579D" w:rsidP="5C9B80F5">
      <w:pPr>
        <w:jc w:val="both"/>
        <w:rPr>
          <w:rFonts w:ascii="Times New Roman" w:eastAsia="Times New Roman" w:hAnsi="Times New Roman" w:cs="Times New Roman"/>
          <w:sz w:val="24"/>
          <w:szCs w:val="24"/>
        </w:rPr>
      </w:pPr>
    </w:p>
    <w:p w14:paraId="0019E00E" w14:textId="2F3BD649" w:rsidR="00A93921" w:rsidRPr="00651CD8" w:rsidRDefault="5C9B80F5" w:rsidP="5C9B80F5">
      <w:pPr>
        <w:tabs>
          <w:tab w:val="left" w:pos="347"/>
        </w:tabs>
        <w:jc w:val="both"/>
        <w:rPr>
          <w:rFonts w:ascii="Times New Roman" w:eastAsia="Times New Roman" w:hAnsi="Times New Roman" w:cs="Times New Roman"/>
          <w:i/>
          <w:iCs/>
          <w:color w:val="3D3B42"/>
          <w:sz w:val="24"/>
          <w:szCs w:val="24"/>
        </w:rPr>
      </w:pPr>
      <w:r w:rsidRPr="5C9B80F5">
        <w:rPr>
          <w:rFonts w:ascii="Times New Roman" w:eastAsia="Times New Roman" w:hAnsi="Times New Roman" w:cs="Times New Roman"/>
          <w:b/>
          <w:bCs/>
          <w:sz w:val="24"/>
          <w:szCs w:val="24"/>
        </w:rPr>
        <w:t>8c.</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 xml:space="preserve">Is your LWDB considering a request for statewide or rapid response funds to support innovative initiatives? If so, what activities will your LWDB </w:t>
      </w:r>
      <w:bookmarkStart w:id="2" w:name="_Int_dWx3wV2z"/>
      <w:r w:rsidRPr="5C9B80F5">
        <w:rPr>
          <w:rFonts w:ascii="Times New Roman" w:eastAsia="Times New Roman" w:hAnsi="Times New Roman" w:cs="Times New Roman"/>
          <w:i/>
          <w:iCs/>
          <w:sz w:val="24"/>
          <w:szCs w:val="24"/>
        </w:rPr>
        <w:t>plan to</w:t>
      </w:r>
      <w:bookmarkEnd w:id="2"/>
      <w:r w:rsidRPr="5C9B80F5">
        <w:rPr>
          <w:rFonts w:ascii="Times New Roman" w:eastAsia="Times New Roman" w:hAnsi="Times New Roman" w:cs="Times New Roman"/>
          <w:i/>
          <w:iCs/>
          <w:sz w:val="24"/>
          <w:szCs w:val="24"/>
        </w:rPr>
        <w:t xml:space="preserve"> support utilizing statewide or rapid response funds?</w:t>
      </w:r>
    </w:p>
    <w:p w14:paraId="553F89DD" w14:textId="1BE3BD62" w:rsidR="00A93921" w:rsidRPr="00651CD8" w:rsidRDefault="5C9B80F5" w:rsidP="5C9B80F5">
      <w:pPr>
        <w:tabs>
          <w:tab w:val="left" w:pos="347"/>
        </w:tabs>
        <w:jc w:val="both"/>
        <w:rPr>
          <w:rFonts w:ascii="Times New Roman" w:eastAsia="Times New Roman" w:hAnsi="Times New Roman" w:cs="Times New Roman"/>
          <w:b/>
          <w:bCs/>
          <w:color w:val="2F2F34"/>
          <w:sz w:val="24"/>
          <w:szCs w:val="24"/>
        </w:rPr>
      </w:pPr>
      <w:r w:rsidRPr="5C9B80F5">
        <w:rPr>
          <w:rFonts w:ascii="Times New Roman" w:eastAsia="Times New Roman" w:hAnsi="Times New Roman" w:cs="Times New Roman"/>
          <w:b/>
          <w:bCs/>
          <w:sz w:val="24"/>
          <w:szCs w:val="24"/>
        </w:rPr>
        <w:t xml:space="preserve">ETLWDB requested Lay-off Aversion Rapid Response/Incumbent Worker Grant funding </w:t>
      </w:r>
      <w:r w:rsidR="001744B2" w:rsidRPr="5C9B80F5">
        <w:rPr>
          <w:rFonts w:ascii="Times New Roman" w:eastAsia="Times New Roman" w:hAnsi="Times New Roman" w:cs="Times New Roman"/>
          <w:b/>
          <w:bCs/>
          <w:sz w:val="24"/>
          <w:szCs w:val="24"/>
        </w:rPr>
        <w:t>for</w:t>
      </w:r>
      <w:r w:rsidRPr="5C9B80F5">
        <w:rPr>
          <w:rFonts w:ascii="Times New Roman" w:eastAsia="Times New Roman" w:hAnsi="Times New Roman" w:cs="Times New Roman"/>
          <w:b/>
          <w:bCs/>
          <w:sz w:val="24"/>
          <w:szCs w:val="24"/>
        </w:rPr>
        <w:t xml:space="preserve"> 57,455.00.  Six businesses will avoid layoffs through Incumbent Worker Training of current employees with new skills, resulting in pay increases and sustainability of the employers receiving the funds. </w:t>
      </w:r>
    </w:p>
    <w:p w14:paraId="7D8662B7" w14:textId="3C9D3CEE" w:rsidR="00651CD8" w:rsidRPr="000C6D49" w:rsidRDefault="00651CD8" w:rsidP="5C9B80F5">
      <w:pPr>
        <w:jc w:val="both"/>
        <w:rPr>
          <w:rFonts w:ascii="Times New Roman" w:eastAsia="Times New Roman" w:hAnsi="Times New Roman" w:cs="Times New Roman"/>
          <w:sz w:val="24"/>
          <w:szCs w:val="24"/>
        </w:rPr>
      </w:pPr>
    </w:p>
    <w:p w14:paraId="6996ADE9" w14:textId="7AAD3AEB" w:rsidR="00A93921" w:rsidRPr="00651CD8" w:rsidRDefault="5C9B80F5" w:rsidP="5C9B80F5">
      <w:pPr>
        <w:tabs>
          <w:tab w:val="left" w:pos="349"/>
        </w:tabs>
        <w:jc w:val="both"/>
        <w:rPr>
          <w:rFonts w:ascii="Times New Roman" w:eastAsia="Times New Roman" w:hAnsi="Times New Roman" w:cs="Times New Roman"/>
          <w:i/>
          <w:iCs/>
          <w:color w:val="89898C"/>
          <w:sz w:val="24"/>
          <w:szCs w:val="24"/>
        </w:rPr>
      </w:pPr>
      <w:r w:rsidRPr="5C9B80F5">
        <w:rPr>
          <w:rFonts w:ascii="Times New Roman" w:eastAsia="Times New Roman" w:hAnsi="Times New Roman" w:cs="Times New Roman"/>
          <w:b/>
          <w:bCs/>
          <w:sz w:val="24"/>
          <w:szCs w:val="24"/>
        </w:rPr>
        <w:t>8d.</w:t>
      </w:r>
      <w:r w:rsidRPr="5C9B80F5">
        <w:rPr>
          <w:rFonts w:ascii="Times New Roman" w:eastAsia="Times New Roman" w:hAnsi="Times New Roman" w:cs="Times New Roman"/>
          <w:sz w:val="24"/>
          <w:szCs w:val="24"/>
        </w:rPr>
        <w:t xml:space="preserve"> </w:t>
      </w:r>
      <w:r w:rsidRPr="5C9B80F5">
        <w:rPr>
          <w:rFonts w:ascii="Times New Roman" w:eastAsia="Times New Roman" w:hAnsi="Times New Roman" w:cs="Times New Roman"/>
          <w:i/>
          <w:iCs/>
          <w:sz w:val="24"/>
          <w:szCs w:val="24"/>
        </w:rPr>
        <w:t>Has your local area applied for and/or received any other grants that have provided additional resources?  If not, does your local area plan to apply for additional resources to support regional activities?</w:t>
      </w:r>
    </w:p>
    <w:p w14:paraId="0618E95E" w14:textId="394976B0" w:rsidR="3132D044" w:rsidRDefault="5C9B80F5" w:rsidP="5C9B80F5">
      <w:pPr>
        <w:jc w:val="both"/>
        <w:rPr>
          <w:rFonts w:ascii="Times New Roman" w:eastAsia="Times New Roman" w:hAnsi="Times New Roman" w:cs="Times New Roman"/>
          <w:b/>
          <w:bCs/>
          <w:color w:val="2F2F34"/>
          <w:sz w:val="24"/>
          <w:szCs w:val="24"/>
        </w:rPr>
      </w:pPr>
      <w:r w:rsidRPr="5C9B80F5">
        <w:rPr>
          <w:rFonts w:ascii="Times New Roman" w:eastAsia="Times New Roman" w:hAnsi="Times New Roman" w:cs="Times New Roman"/>
          <w:b/>
          <w:bCs/>
          <w:sz w:val="24"/>
          <w:szCs w:val="24"/>
        </w:rPr>
        <w:t>East eagerly pursues alternative/additional sources of funding</w:t>
      </w:r>
      <w:r w:rsidR="00A041B6">
        <w:rPr>
          <w:rFonts w:ascii="Times New Roman" w:eastAsia="Times New Roman" w:hAnsi="Times New Roman" w:cs="Times New Roman"/>
          <w:b/>
          <w:bCs/>
          <w:sz w:val="24"/>
          <w:szCs w:val="24"/>
        </w:rPr>
        <w:t xml:space="preserve">. </w:t>
      </w:r>
      <w:r w:rsidRPr="5C9B80F5">
        <w:rPr>
          <w:rFonts w:ascii="Times New Roman" w:eastAsia="Times New Roman" w:hAnsi="Times New Roman" w:cs="Times New Roman"/>
          <w:b/>
          <w:bCs/>
          <w:sz w:val="24"/>
          <w:szCs w:val="24"/>
        </w:rPr>
        <w:t xml:space="preserve"> East requested 35,000.00, to serve 10 </w:t>
      </w:r>
      <w:r w:rsidR="00A041B6" w:rsidRPr="5C9B80F5">
        <w:rPr>
          <w:rFonts w:ascii="Times New Roman" w:eastAsia="Times New Roman" w:hAnsi="Times New Roman" w:cs="Times New Roman"/>
          <w:b/>
          <w:bCs/>
          <w:sz w:val="24"/>
          <w:szCs w:val="24"/>
        </w:rPr>
        <w:t>justice-involved</w:t>
      </w:r>
      <w:r w:rsidRPr="5C9B80F5">
        <w:rPr>
          <w:rFonts w:ascii="Times New Roman" w:eastAsia="Times New Roman" w:hAnsi="Times New Roman" w:cs="Times New Roman"/>
          <w:b/>
          <w:bCs/>
          <w:sz w:val="24"/>
          <w:szCs w:val="24"/>
        </w:rPr>
        <w:t xml:space="preserve"> individuals by providing training in connection with TLD Logistics to obtain a Class “A” Commercial Driver's License.  The program is unique in that </w:t>
      </w:r>
      <w:r w:rsidR="00A041B6" w:rsidRPr="5C9B80F5">
        <w:rPr>
          <w:rFonts w:ascii="Times New Roman" w:eastAsia="Times New Roman" w:hAnsi="Times New Roman" w:cs="Times New Roman"/>
          <w:b/>
          <w:bCs/>
          <w:sz w:val="24"/>
          <w:szCs w:val="24"/>
        </w:rPr>
        <w:t>individuals,</w:t>
      </w:r>
      <w:r w:rsidRPr="5C9B80F5">
        <w:rPr>
          <w:rFonts w:ascii="Times New Roman" w:eastAsia="Times New Roman" w:hAnsi="Times New Roman" w:cs="Times New Roman"/>
          <w:b/>
          <w:bCs/>
          <w:sz w:val="24"/>
          <w:szCs w:val="24"/>
        </w:rPr>
        <w:t xml:space="preserve"> </w:t>
      </w:r>
      <w:r w:rsidR="00A041B6">
        <w:rPr>
          <w:rFonts w:ascii="Times New Roman" w:eastAsia="Times New Roman" w:hAnsi="Times New Roman" w:cs="Times New Roman"/>
          <w:b/>
          <w:bCs/>
          <w:sz w:val="24"/>
          <w:szCs w:val="24"/>
        </w:rPr>
        <w:t xml:space="preserve">who </w:t>
      </w:r>
      <w:r w:rsidRPr="5C9B80F5">
        <w:rPr>
          <w:rFonts w:ascii="Times New Roman" w:eastAsia="Times New Roman" w:hAnsi="Times New Roman" w:cs="Times New Roman"/>
          <w:b/>
          <w:bCs/>
          <w:sz w:val="24"/>
          <w:szCs w:val="24"/>
        </w:rPr>
        <w:t>complet</w:t>
      </w:r>
      <w:r w:rsidR="00A041B6">
        <w:rPr>
          <w:rFonts w:ascii="Times New Roman" w:eastAsia="Times New Roman" w:hAnsi="Times New Roman" w:cs="Times New Roman"/>
          <w:b/>
          <w:bCs/>
          <w:sz w:val="24"/>
          <w:szCs w:val="24"/>
        </w:rPr>
        <w:t>e</w:t>
      </w:r>
      <w:r w:rsidRPr="5C9B80F5">
        <w:rPr>
          <w:rFonts w:ascii="Times New Roman" w:eastAsia="Times New Roman" w:hAnsi="Times New Roman" w:cs="Times New Roman"/>
          <w:b/>
          <w:bCs/>
          <w:sz w:val="24"/>
          <w:szCs w:val="24"/>
        </w:rPr>
        <w:t xml:space="preserve"> </w:t>
      </w:r>
      <w:r w:rsidR="00A041B6">
        <w:rPr>
          <w:rFonts w:ascii="Times New Roman" w:eastAsia="Times New Roman" w:hAnsi="Times New Roman" w:cs="Times New Roman"/>
          <w:b/>
          <w:bCs/>
          <w:sz w:val="24"/>
          <w:szCs w:val="24"/>
        </w:rPr>
        <w:t>t</w:t>
      </w:r>
      <w:r w:rsidRPr="5C9B80F5">
        <w:rPr>
          <w:rFonts w:ascii="Times New Roman" w:eastAsia="Times New Roman" w:hAnsi="Times New Roman" w:cs="Times New Roman"/>
          <w:b/>
          <w:bCs/>
          <w:sz w:val="24"/>
          <w:szCs w:val="24"/>
        </w:rPr>
        <w:t>raining</w:t>
      </w:r>
      <w:r w:rsidR="00A041B6">
        <w:rPr>
          <w:rFonts w:ascii="Times New Roman" w:eastAsia="Times New Roman" w:hAnsi="Times New Roman" w:cs="Times New Roman"/>
          <w:b/>
          <w:bCs/>
          <w:sz w:val="24"/>
          <w:szCs w:val="24"/>
        </w:rPr>
        <w:t>,</w:t>
      </w:r>
      <w:r w:rsidRPr="5C9B80F5">
        <w:rPr>
          <w:rFonts w:ascii="Times New Roman" w:eastAsia="Times New Roman" w:hAnsi="Times New Roman" w:cs="Times New Roman"/>
          <w:b/>
          <w:bCs/>
          <w:sz w:val="24"/>
          <w:szCs w:val="24"/>
        </w:rPr>
        <w:t xml:space="preserve"> </w:t>
      </w:r>
      <w:r w:rsidR="001744B2">
        <w:rPr>
          <w:rFonts w:ascii="Times New Roman" w:eastAsia="Times New Roman" w:hAnsi="Times New Roman" w:cs="Times New Roman"/>
          <w:b/>
          <w:bCs/>
          <w:sz w:val="24"/>
          <w:szCs w:val="24"/>
        </w:rPr>
        <w:t xml:space="preserve">and obtain their Class A CDL license </w:t>
      </w:r>
      <w:r w:rsidRPr="5C9B80F5">
        <w:rPr>
          <w:rFonts w:ascii="Times New Roman" w:eastAsia="Times New Roman" w:hAnsi="Times New Roman" w:cs="Times New Roman"/>
          <w:b/>
          <w:bCs/>
          <w:sz w:val="24"/>
          <w:szCs w:val="24"/>
        </w:rPr>
        <w:t>are</w:t>
      </w:r>
      <w:r w:rsidR="00A041B6">
        <w:rPr>
          <w:rFonts w:ascii="Times New Roman" w:eastAsia="Times New Roman" w:hAnsi="Times New Roman" w:cs="Times New Roman"/>
          <w:b/>
          <w:bCs/>
          <w:sz w:val="24"/>
          <w:szCs w:val="24"/>
        </w:rPr>
        <w:t xml:space="preserve"> hired </w:t>
      </w:r>
      <w:r w:rsidRPr="5C9B80F5">
        <w:rPr>
          <w:rFonts w:ascii="Times New Roman" w:eastAsia="Times New Roman" w:hAnsi="Times New Roman" w:cs="Times New Roman"/>
          <w:b/>
          <w:bCs/>
          <w:sz w:val="24"/>
          <w:szCs w:val="24"/>
        </w:rPr>
        <w:t xml:space="preserve">with an existing employer partner.  Funding will underwrite the purchase of clothing, testing, licensing, vision correction, and pay partial housing, (sponsored by a faith-based community organization) for individuals recently released from the Morgan County Correctional facility.  East, through its parent organization, ETHRA, has applied for a TANF Opportunity Planning Grant.  East was awarded one of the 100,000.00 grants for the planning period ending in </w:t>
      </w:r>
      <w:r w:rsidR="001744B2" w:rsidRPr="5C9B80F5">
        <w:rPr>
          <w:rFonts w:ascii="Times New Roman" w:eastAsia="Times New Roman" w:hAnsi="Times New Roman" w:cs="Times New Roman"/>
          <w:b/>
          <w:bCs/>
          <w:sz w:val="24"/>
          <w:szCs w:val="24"/>
        </w:rPr>
        <w:t>March</w:t>
      </w:r>
      <w:r w:rsidRPr="5C9B80F5">
        <w:rPr>
          <w:rFonts w:ascii="Times New Roman" w:eastAsia="Times New Roman" w:hAnsi="Times New Roman" w:cs="Times New Roman"/>
          <w:b/>
          <w:bCs/>
          <w:sz w:val="24"/>
          <w:szCs w:val="24"/>
        </w:rPr>
        <w:t xml:space="preserve"> 2022.  Upon implementation, if successfully awarded, the service delivery structure provides for co-enrollment and braiding of funds between applicable partners within the AJC system.</w:t>
      </w:r>
    </w:p>
    <w:p w14:paraId="4F7AD776" w14:textId="77777777" w:rsidR="00651CD8" w:rsidRPr="00651CD8" w:rsidRDefault="00651CD8" w:rsidP="3132D044">
      <w:pPr>
        <w:tabs>
          <w:tab w:val="left" w:pos="349"/>
        </w:tabs>
        <w:rPr>
          <w:rFonts w:ascii="Times New Roman" w:eastAsia="Times New Roman" w:hAnsi="Times New Roman" w:cs="Times New Roman"/>
          <w:b/>
          <w:bCs/>
          <w:sz w:val="24"/>
          <w:szCs w:val="24"/>
        </w:rPr>
      </w:pPr>
    </w:p>
    <w:sectPr w:rsidR="00651CD8" w:rsidRPr="00651CD8" w:rsidSect="00A53215">
      <w:headerReference w:type="default" r:id="rId22"/>
      <w:pgSz w:w="15880" w:h="1225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864A" w14:textId="77777777" w:rsidR="007F37AF" w:rsidRDefault="007F37AF" w:rsidP="00E559C6">
      <w:r>
        <w:separator/>
      </w:r>
    </w:p>
  </w:endnote>
  <w:endnote w:type="continuationSeparator" w:id="0">
    <w:p w14:paraId="7790394C" w14:textId="77777777" w:rsidR="007F37AF" w:rsidRDefault="007F37AF" w:rsidP="00E55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E2AD7" w14:textId="77777777" w:rsidR="007F37AF" w:rsidRDefault="007F37AF" w:rsidP="00E559C6">
      <w:r>
        <w:separator/>
      </w:r>
    </w:p>
  </w:footnote>
  <w:footnote w:type="continuationSeparator" w:id="0">
    <w:p w14:paraId="4783CF0C" w14:textId="77777777" w:rsidR="007F37AF" w:rsidRDefault="007F37AF" w:rsidP="00E55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1241" w14:textId="5B048092" w:rsidR="00F97099" w:rsidRDefault="00F9709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agRMzfX7" int2:invalidationBookmarkName="" int2:hashCode="m7WLLRs2tuNceE" int2:id="wjVIQwFO">
      <int2:state int2:value="Rejected" int2:type="LegacyProofing"/>
    </int2:bookmark>
    <int2:bookmark int2:bookmarkName="_Int_dWx3wV2z" int2:invalidationBookmarkName="" int2:hashCode="fDAjBJ1mGS7eZY" int2:id="JOiGuCUF">
      <int2:state int2:value="Rejected" int2:type="LegacyProofing"/>
    </int2:bookmark>
    <int2:bookmark int2:bookmarkName="_Int_sOPzPZDf" int2:invalidationBookmarkName="" int2:hashCode="z629eldxMwQaYP" int2:id="rZ2uKaq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1E81"/>
    <w:multiLevelType w:val="hybridMultilevel"/>
    <w:tmpl w:val="D466060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066D39A9"/>
    <w:multiLevelType w:val="hybridMultilevel"/>
    <w:tmpl w:val="A4E45DB0"/>
    <w:lvl w:ilvl="0" w:tplc="C51C5E92">
      <w:start w:val="1"/>
      <w:numFmt w:val="decimal"/>
      <w:lvlText w:val="%1."/>
      <w:lvlJc w:val="left"/>
      <w:pPr>
        <w:ind w:left="720" w:hanging="360"/>
      </w:pPr>
    </w:lvl>
    <w:lvl w:ilvl="1" w:tplc="999A244A">
      <w:start w:val="5"/>
      <w:numFmt w:val="lowerLetter"/>
      <w:lvlText w:val="%2."/>
      <w:lvlJc w:val="left"/>
      <w:pPr>
        <w:ind w:left="1440" w:hanging="360"/>
      </w:pPr>
    </w:lvl>
    <w:lvl w:ilvl="2" w:tplc="92E4D3EC">
      <w:start w:val="1"/>
      <w:numFmt w:val="lowerRoman"/>
      <w:lvlText w:val="%3."/>
      <w:lvlJc w:val="right"/>
      <w:pPr>
        <w:ind w:left="2160" w:hanging="180"/>
      </w:pPr>
    </w:lvl>
    <w:lvl w:ilvl="3" w:tplc="8EACEEB4">
      <w:start w:val="1"/>
      <w:numFmt w:val="decimal"/>
      <w:lvlText w:val="%4."/>
      <w:lvlJc w:val="left"/>
      <w:pPr>
        <w:ind w:left="2880" w:hanging="360"/>
      </w:pPr>
    </w:lvl>
    <w:lvl w:ilvl="4" w:tplc="FC8C2220">
      <w:start w:val="1"/>
      <w:numFmt w:val="lowerLetter"/>
      <w:lvlText w:val="%5."/>
      <w:lvlJc w:val="left"/>
      <w:pPr>
        <w:ind w:left="3600" w:hanging="360"/>
      </w:pPr>
    </w:lvl>
    <w:lvl w:ilvl="5" w:tplc="87927F3A">
      <w:start w:val="1"/>
      <w:numFmt w:val="lowerRoman"/>
      <w:lvlText w:val="%6."/>
      <w:lvlJc w:val="right"/>
      <w:pPr>
        <w:ind w:left="4320" w:hanging="180"/>
      </w:pPr>
    </w:lvl>
    <w:lvl w:ilvl="6" w:tplc="68C4A07A">
      <w:start w:val="1"/>
      <w:numFmt w:val="decimal"/>
      <w:lvlText w:val="%7."/>
      <w:lvlJc w:val="left"/>
      <w:pPr>
        <w:ind w:left="5040" w:hanging="360"/>
      </w:pPr>
    </w:lvl>
    <w:lvl w:ilvl="7" w:tplc="1188DACC">
      <w:start w:val="1"/>
      <w:numFmt w:val="lowerLetter"/>
      <w:lvlText w:val="%8."/>
      <w:lvlJc w:val="left"/>
      <w:pPr>
        <w:ind w:left="5760" w:hanging="360"/>
      </w:pPr>
    </w:lvl>
    <w:lvl w:ilvl="8" w:tplc="84042CE6">
      <w:start w:val="1"/>
      <w:numFmt w:val="lowerRoman"/>
      <w:lvlText w:val="%9."/>
      <w:lvlJc w:val="right"/>
      <w:pPr>
        <w:ind w:left="6480" w:hanging="180"/>
      </w:pPr>
    </w:lvl>
  </w:abstractNum>
  <w:abstractNum w:abstractNumId="2" w15:restartNumberingAfterBreak="0">
    <w:nsid w:val="07C959E8"/>
    <w:multiLevelType w:val="hybridMultilevel"/>
    <w:tmpl w:val="C67E42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A7B81"/>
    <w:multiLevelType w:val="hybridMultilevel"/>
    <w:tmpl w:val="069ABACC"/>
    <w:lvl w:ilvl="0" w:tplc="DF427EE8">
      <w:numFmt w:val="decimal"/>
      <w:lvlText w:val="%1"/>
      <w:lvlJc w:val="left"/>
      <w:pPr>
        <w:ind w:left="1080" w:hanging="360"/>
      </w:pPr>
      <w:rPr>
        <w:rFonts w:hint="default"/>
        <w:color w:val="939195"/>
        <w:sz w:val="1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1F472A"/>
    <w:multiLevelType w:val="hybridMultilevel"/>
    <w:tmpl w:val="9C3C2910"/>
    <w:lvl w:ilvl="0" w:tplc="9DCC0C0C">
      <w:start w:val="1"/>
      <w:numFmt w:val="bullet"/>
      <w:lvlText w:val=""/>
      <w:lvlJc w:val="left"/>
      <w:pPr>
        <w:ind w:left="360" w:hanging="360"/>
      </w:pPr>
      <w:rPr>
        <w:rFonts w:ascii="Symbol" w:hAnsi="Symbol" w:hint="default"/>
      </w:rPr>
    </w:lvl>
    <w:lvl w:ilvl="1" w:tplc="910E6F90">
      <w:start w:val="1"/>
      <w:numFmt w:val="bullet"/>
      <w:lvlText w:val="o"/>
      <w:lvlJc w:val="left"/>
      <w:pPr>
        <w:ind w:left="1080" w:hanging="360"/>
      </w:pPr>
      <w:rPr>
        <w:rFonts w:ascii="Courier New" w:hAnsi="Courier New" w:hint="default"/>
      </w:rPr>
    </w:lvl>
    <w:lvl w:ilvl="2" w:tplc="4B320CE6">
      <w:start w:val="1"/>
      <w:numFmt w:val="bullet"/>
      <w:lvlText w:val=""/>
      <w:lvlJc w:val="left"/>
      <w:pPr>
        <w:ind w:left="1800" w:hanging="360"/>
      </w:pPr>
      <w:rPr>
        <w:rFonts w:ascii="Wingdings" w:hAnsi="Wingdings" w:hint="default"/>
      </w:rPr>
    </w:lvl>
    <w:lvl w:ilvl="3" w:tplc="360CD04C">
      <w:start w:val="1"/>
      <w:numFmt w:val="bullet"/>
      <w:lvlText w:val=""/>
      <w:lvlJc w:val="left"/>
      <w:pPr>
        <w:ind w:left="2520" w:hanging="360"/>
      </w:pPr>
      <w:rPr>
        <w:rFonts w:ascii="Symbol" w:hAnsi="Symbol" w:hint="default"/>
      </w:rPr>
    </w:lvl>
    <w:lvl w:ilvl="4" w:tplc="7ABE629A">
      <w:start w:val="1"/>
      <w:numFmt w:val="bullet"/>
      <w:lvlText w:val="o"/>
      <w:lvlJc w:val="left"/>
      <w:pPr>
        <w:ind w:left="3240" w:hanging="360"/>
      </w:pPr>
      <w:rPr>
        <w:rFonts w:ascii="Courier New" w:hAnsi="Courier New" w:hint="default"/>
      </w:rPr>
    </w:lvl>
    <w:lvl w:ilvl="5" w:tplc="1F3EECDE">
      <w:start w:val="1"/>
      <w:numFmt w:val="bullet"/>
      <w:lvlText w:val=""/>
      <w:lvlJc w:val="left"/>
      <w:pPr>
        <w:ind w:left="3960" w:hanging="360"/>
      </w:pPr>
      <w:rPr>
        <w:rFonts w:ascii="Wingdings" w:hAnsi="Wingdings" w:hint="default"/>
      </w:rPr>
    </w:lvl>
    <w:lvl w:ilvl="6" w:tplc="7F22A78E">
      <w:start w:val="1"/>
      <w:numFmt w:val="bullet"/>
      <w:lvlText w:val=""/>
      <w:lvlJc w:val="left"/>
      <w:pPr>
        <w:ind w:left="4680" w:hanging="360"/>
      </w:pPr>
      <w:rPr>
        <w:rFonts w:ascii="Symbol" w:hAnsi="Symbol" w:hint="default"/>
      </w:rPr>
    </w:lvl>
    <w:lvl w:ilvl="7" w:tplc="6F9629FA">
      <w:start w:val="1"/>
      <w:numFmt w:val="bullet"/>
      <w:lvlText w:val="o"/>
      <w:lvlJc w:val="left"/>
      <w:pPr>
        <w:ind w:left="5400" w:hanging="360"/>
      </w:pPr>
      <w:rPr>
        <w:rFonts w:ascii="Courier New" w:hAnsi="Courier New" w:hint="default"/>
      </w:rPr>
    </w:lvl>
    <w:lvl w:ilvl="8" w:tplc="DC18FE44">
      <w:start w:val="1"/>
      <w:numFmt w:val="bullet"/>
      <w:lvlText w:val=""/>
      <w:lvlJc w:val="left"/>
      <w:pPr>
        <w:ind w:left="6120" w:hanging="360"/>
      </w:pPr>
      <w:rPr>
        <w:rFonts w:ascii="Wingdings" w:hAnsi="Wingdings" w:hint="default"/>
      </w:rPr>
    </w:lvl>
  </w:abstractNum>
  <w:abstractNum w:abstractNumId="5" w15:restartNumberingAfterBreak="0">
    <w:nsid w:val="1A3E6598"/>
    <w:multiLevelType w:val="hybridMultilevel"/>
    <w:tmpl w:val="A5C61856"/>
    <w:lvl w:ilvl="0" w:tplc="14042B3A">
      <w:start w:val="1"/>
      <w:numFmt w:val="bullet"/>
      <w:lvlText w:val=""/>
      <w:lvlJc w:val="left"/>
      <w:pPr>
        <w:ind w:left="360" w:hanging="360"/>
      </w:pPr>
      <w:rPr>
        <w:rFonts w:ascii="Wingdings" w:hAnsi="Wingdings" w:hint="default"/>
      </w:rPr>
    </w:lvl>
    <w:lvl w:ilvl="1" w:tplc="B13A8ABE">
      <w:start w:val="1"/>
      <w:numFmt w:val="bullet"/>
      <w:lvlText w:val="o"/>
      <w:lvlJc w:val="left"/>
      <w:pPr>
        <w:ind w:left="1080" w:hanging="360"/>
      </w:pPr>
      <w:rPr>
        <w:rFonts w:ascii="Courier New" w:hAnsi="Courier New" w:hint="default"/>
      </w:rPr>
    </w:lvl>
    <w:lvl w:ilvl="2" w:tplc="FDA0A7BC">
      <w:start w:val="1"/>
      <w:numFmt w:val="bullet"/>
      <w:lvlText w:val=""/>
      <w:lvlJc w:val="left"/>
      <w:pPr>
        <w:ind w:left="1800" w:hanging="360"/>
      </w:pPr>
      <w:rPr>
        <w:rFonts w:ascii="Wingdings" w:hAnsi="Wingdings" w:hint="default"/>
      </w:rPr>
    </w:lvl>
    <w:lvl w:ilvl="3" w:tplc="47E81EDC">
      <w:start w:val="1"/>
      <w:numFmt w:val="bullet"/>
      <w:lvlText w:val=""/>
      <w:lvlJc w:val="left"/>
      <w:pPr>
        <w:ind w:left="2520" w:hanging="360"/>
      </w:pPr>
      <w:rPr>
        <w:rFonts w:ascii="Symbol" w:hAnsi="Symbol" w:hint="default"/>
      </w:rPr>
    </w:lvl>
    <w:lvl w:ilvl="4" w:tplc="56D82B96">
      <w:start w:val="1"/>
      <w:numFmt w:val="bullet"/>
      <w:lvlText w:val="o"/>
      <w:lvlJc w:val="left"/>
      <w:pPr>
        <w:ind w:left="3240" w:hanging="360"/>
      </w:pPr>
      <w:rPr>
        <w:rFonts w:ascii="Courier New" w:hAnsi="Courier New" w:hint="default"/>
      </w:rPr>
    </w:lvl>
    <w:lvl w:ilvl="5" w:tplc="5CD2633E">
      <w:start w:val="1"/>
      <w:numFmt w:val="bullet"/>
      <w:lvlText w:val=""/>
      <w:lvlJc w:val="left"/>
      <w:pPr>
        <w:ind w:left="3960" w:hanging="360"/>
      </w:pPr>
      <w:rPr>
        <w:rFonts w:ascii="Wingdings" w:hAnsi="Wingdings" w:hint="default"/>
      </w:rPr>
    </w:lvl>
    <w:lvl w:ilvl="6" w:tplc="A6B8655A">
      <w:start w:val="1"/>
      <w:numFmt w:val="bullet"/>
      <w:lvlText w:val=""/>
      <w:lvlJc w:val="left"/>
      <w:pPr>
        <w:ind w:left="4680" w:hanging="360"/>
      </w:pPr>
      <w:rPr>
        <w:rFonts w:ascii="Symbol" w:hAnsi="Symbol" w:hint="default"/>
      </w:rPr>
    </w:lvl>
    <w:lvl w:ilvl="7" w:tplc="B44AF146">
      <w:start w:val="1"/>
      <w:numFmt w:val="bullet"/>
      <w:lvlText w:val="o"/>
      <w:lvlJc w:val="left"/>
      <w:pPr>
        <w:ind w:left="5400" w:hanging="360"/>
      </w:pPr>
      <w:rPr>
        <w:rFonts w:ascii="Courier New" w:hAnsi="Courier New" w:hint="default"/>
      </w:rPr>
    </w:lvl>
    <w:lvl w:ilvl="8" w:tplc="B298DD82">
      <w:start w:val="1"/>
      <w:numFmt w:val="bullet"/>
      <w:lvlText w:val=""/>
      <w:lvlJc w:val="left"/>
      <w:pPr>
        <w:ind w:left="6120" w:hanging="360"/>
      </w:pPr>
      <w:rPr>
        <w:rFonts w:ascii="Wingdings" w:hAnsi="Wingdings" w:hint="default"/>
      </w:rPr>
    </w:lvl>
  </w:abstractNum>
  <w:abstractNum w:abstractNumId="6" w15:restartNumberingAfterBreak="0">
    <w:nsid w:val="1E2C2718"/>
    <w:multiLevelType w:val="hybridMultilevel"/>
    <w:tmpl w:val="1EDC65D4"/>
    <w:lvl w:ilvl="0" w:tplc="062C4434">
      <w:start w:val="1"/>
      <w:numFmt w:val="bullet"/>
      <w:lvlText w:val="o"/>
      <w:lvlJc w:val="left"/>
      <w:pPr>
        <w:ind w:left="360" w:hanging="360"/>
      </w:pPr>
      <w:rPr>
        <w:rFonts w:ascii="Courier New" w:hAnsi="Courier New" w:hint="default"/>
      </w:rPr>
    </w:lvl>
    <w:lvl w:ilvl="1" w:tplc="CD584AA4">
      <w:start w:val="1"/>
      <w:numFmt w:val="bullet"/>
      <w:lvlText w:val="o"/>
      <w:lvlJc w:val="left"/>
      <w:pPr>
        <w:ind w:left="1080" w:hanging="360"/>
      </w:pPr>
      <w:rPr>
        <w:rFonts w:ascii="Courier New" w:hAnsi="Courier New" w:hint="default"/>
      </w:rPr>
    </w:lvl>
    <w:lvl w:ilvl="2" w:tplc="F6E410BE">
      <w:start w:val="1"/>
      <w:numFmt w:val="bullet"/>
      <w:lvlText w:val=""/>
      <w:lvlJc w:val="left"/>
      <w:pPr>
        <w:ind w:left="1800" w:hanging="360"/>
      </w:pPr>
      <w:rPr>
        <w:rFonts w:ascii="Wingdings" w:hAnsi="Wingdings" w:hint="default"/>
      </w:rPr>
    </w:lvl>
    <w:lvl w:ilvl="3" w:tplc="87FC4AEE">
      <w:start w:val="1"/>
      <w:numFmt w:val="bullet"/>
      <w:lvlText w:val=""/>
      <w:lvlJc w:val="left"/>
      <w:pPr>
        <w:ind w:left="2520" w:hanging="360"/>
      </w:pPr>
      <w:rPr>
        <w:rFonts w:ascii="Symbol" w:hAnsi="Symbol" w:hint="default"/>
      </w:rPr>
    </w:lvl>
    <w:lvl w:ilvl="4" w:tplc="FC54E92E">
      <w:start w:val="1"/>
      <w:numFmt w:val="bullet"/>
      <w:lvlText w:val="o"/>
      <w:lvlJc w:val="left"/>
      <w:pPr>
        <w:ind w:left="3240" w:hanging="360"/>
      </w:pPr>
      <w:rPr>
        <w:rFonts w:ascii="Courier New" w:hAnsi="Courier New" w:hint="default"/>
      </w:rPr>
    </w:lvl>
    <w:lvl w:ilvl="5" w:tplc="14508BD8">
      <w:start w:val="1"/>
      <w:numFmt w:val="bullet"/>
      <w:lvlText w:val=""/>
      <w:lvlJc w:val="left"/>
      <w:pPr>
        <w:ind w:left="3960" w:hanging="360"/>
      </w:pPr>
      <w:rPr>
        <w:rFonts w:ascii="Wingdings" w:hAnsi="Wingdings" w:hint="default"/>
      </w:rPr>
    </w:lvl>
    <w:lvl w:ilvl="6" w:tplc="75F6C964">
      <w:start w:val="1"/>
      <w:numFmt w:val="bullet"/>
      <w:lvlText w:val=""/>
      <w:lvlJc w:val="left"/>
      <w:pPr>
        <w:ind w:left="4680" w:hanging="360"/>
      </w:pPr>
      <w:rPr>
        <w:rFonts w:ascii="Symbol" w:hAnsi="Symbol" w:hint="default"/>
      </w:rPr>
    </w:lvl>
    <w:lvl w:ilvl="7" w:tplc="7994A43C">
      <w:start w:val="1"/>
      <w:numFmt w:val="bullet"/>
      <w:lvlText w:val="o"/>
      <w:lvlJc w:val="left"/>
      <w:pPr>
        <w:ind w:left="5400" w:hanging="360"/>
      </w:pPr>
      <w:rPr>
        <w:rFonts w:ascii="Courier New" w:hAnsi="Courier New" w:hint="default"/>
      </w:rPr>
    </w:lvl>
    <w:lvl w:ilvl="8" w:tplc="2ADECCD4">
      <w:start w:val="1"/>
      <w:numFmt w:val="bullet"/>
      <w:lvlText w:val=""/>
      <w:lvlJc w:val="left"/>
      <w:pPr>
        <w:ind w:left="6120" w:hanging="360"/>
      </w:pPr>
      <w:rPr>
        <w:rFonts w:ascii="Wingdings" w:hAnsi="Wingdings" w:hint="default"/>
      </w:rPr>
    </w:lvl>
  </w:abstractNum>
  <w:abstractNum w:abstractNumId="7" w15:restartNumberingAfterBreak="0">
    <w:nsid w:val="1F134364"/>
    <w:multiLevelType w:val="hybridMultilevel"/>
    <w:tmpl w:val="33F4A0C2"/>
    <w:lvl w:ilvl="0" w:tplc="DE74A0D0">
      <w:start w:val="1"/>
      <w:numFmt w:val="bullet"/>
      <w:lvlText w:val=""/>
      <w:lvlJc w:val="left"/>
      <w:pPr>
        <w:ind w:left="720" w:hanging="360"/>
      </w:pPr>
      <w:rPr>
        <w:rFonts w:ascii="Symbol" w:hAnsi="Symbol" w:hint="default"/>
      </w:rPr>
    </w:lvl>
    <w:lvl w:ilvl="1" w:tplc="CAC6BDAA">
      <w:start w:val="1"/>
      <w:numFmt w:val="bullet"/>
      <w:lvlText w:val=""/>
      <w:lvlJc w:val="left"/>
      <w:pPr>
        <w:ind w:left="1440" w:hanging="360"/>
      </w:pPr>
      <w:rPr>
        <w:rFonts w:ascii="Wingdings" w:hAnsi="Wingdings" w:hint="default"/>
      </w:rPr>
    </w:lvl>
    <w:lvl w:ilvl="2" w:tplc="A6860986">
      <w:start w:val="1"/>
      <w:numFmt w:val="bullet"/>
      <w:lvlText w:val=""/>
      <w:lvlJc w:val="left"/>
      <w:pPr>
        <w:ind w:left="2160" w:hanging="360"/>
      </w:pPr>
      <w:rPr>
        <w:rFonts w:ascii="Wingdings" w:hAnsi="Wingdings" w:hint="default"/>
      </w:rPr>
    </w:lvl>
    <w:lvl w:ilvl="3" w:tplc="C6089E46">
      <w:start w:val="1"/>
      <w:numFmt w:val="bullet"/>
      <w:lvlText w:val=""/>
      <w:lvlJc w:val="left"/>
      <w:pPr>
        <w:ind w:left="2880" w:hanging="360"/>
      </w:pPr>
      <w:rPr>
        <w:rFonts w:ascii="Symbol" w:hAnsi="Symbol" w:hint="default"/>
      </w:rPr>
    </w:lvl>
    <w:lvl w:ilvl="4" w:tplc="7572240A">
      <w:start w:val="1"/>
      <w:numFmt w:val="bullet"/>
      <w:lvlText w:val="o"/>
      <w:lvlJc w:val="left"/>
      <w:pPr>
        <w:ind w:left="3600" w:hanging="360"/>
      </w:pPr>
      <w:rPr>
        <w:rFonts w:ascii="Courier New" w:hAnsi="Courier New" w:hint="default"/>
      </w:rPr>
    </w:lvl>
    <w:lvl w:ilvl="5" w:tplc="F49EE35E">
      <w:start w:val="1"/>
      <w:numFmt w:val="bullet"/>
      <w:lvlText w:val=""/>
      <w:lvlJc w:val="left"/>
      <w:pPr>
        <w:ind w:left="4320" w:hanging="360"/>
      </w:pPr>
      <w:rPr>
        <w:rFonts w:ascii="Wingdings" w:hAnsi="Wingdings" w:hint="default"/>
      </w:rPr>
    </w:lvl>
    <w:lvl w:ilvl="6" w:tplc="3AC4D31A">
      <w:start w:val="1"/>
      <w:numFmt w:val="bullet"/>
      <w:lvlText w:val=""/>
      <w:lvlJc w:val="left"/>
      <w:pPr>
        <w:ind w:left="5040" w:hanging="360"/>
      </w:pPr>
      <w:rPr>
        <w:rFonts w:ascii="Symbol" w:hAnsi="Symbol" w:hint="default"/>
      </w:rPr>
    </w:lvl>
    <w:lvl w:ilvl="7" w:tplc="03E0EEDA">
      <w:start w:val="1"/>
      <w:numFmt w:val="bullet"/>
      <w:lvlText w:val="o"/>
      <w:lvlJc w:val="left"/>
      <w:pPr>
        <w:ind w:left="5760" w:hanging="360"/>
      </w:pPr>
      <w:rPr>
        <w:rFonts w:ascii="Courier New" w:hAnsi="Courier New" w:hint="default"/>
      </w:rPr>
    </w:lvl>
    <w:lvl w:ilvl="8" w:tplc="AB6CC07E">
      <w:start w:val="1"/>
      <w:numFmt w:val="bullet"/>
      <w:lvlText w:val=""/>
      <w:lvlJc w:val="left"/>
      <w:pPr>
        <w:ind w:left="6480" w:hanging="360"/>
      </w:pPr>
      <w:rPr>
        <w:rFonts w:ascii="Wingdings" w:hAnsi="Wingdings" w:hint="default"/>
      </w:rPr>
    </w:lvl>
  </w:abstractNum>
  <w:abstractNum w:abstractNumId="8" w15:restartNumberingAfterBreak="0">
    <w:nsid w:val="221E0BE9"/>
    <w:multiLevelType w:val="hybridMultilevel"/>
    <w:tmpl w:val="37E6CA2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7B17DD6"/>
    <w:multiLevelType w:val="hybridMultilevel"/>
    <w:tmpl w:val="B10205BE"/>
    <w:lvl w:ilvl="0" w:tplc="A4C23842">
      <w:numFmt w:val="bullet"/>
      <w:lvlText w:val="o"/>
      <w:lvlJc w:val="left"/>
      <w:pPr>
        <w:ind w:left="387" w:hanging="245"/>
      </w:pPr>
      <w:rPr>
        <w:rFonts w:ascii="Arial" w:eastAsia="Arial" w:hAnsi="Arial" w:cs="Arial" w:hint="default"/>
        <w:w w:val="106"/>
        <w:lang w:val="en-US" w:eastAsia="en-US" w:bidi="ar-SA"/>
      </w:rPr>
    </w:lvl>
    <w:lvl w:ilvl="1" w:tplc="97288794">
      <w:numFmt w:val="bullet"/>
      <w:lvlText w:val="•"/>
      <w:lvlJc w:val="left"/>
      <w:pPr>
        <w:ind w:left="1389" w:hanging="245"/>
      </w:pPr>
      <w:rPr>
        <w:rFonts w:hint="default"/>
        <w:lang w:val="en-US" w:eastAsia="en-US" w:bidi="ar-SA"/>
      </w:rPr>
    </w:lvl>
    <w:lvl w:ilvl="2" w:tplc="AF5E3228">
      <w:numFmt w:val="bullet"/>
      <w:lvlText w:val="•"/>
      <w:lvlJc w:val="left"/>
      <w:pPr>
        <w:ind w:left="2394" w:hanging="245"/>
      </w:pPr>
      <w:rPr>
        <w:rFonts w:hint="default"/>
        <w:lang w:val="en-US" w:eastAsia="en-US" w:bidi="ar-SA"/>
      </w:rPr>
    </w:lvl>
    <w:lvl w:ilvl="3" w:tplc="B930F7B4">
      <w:numFmt w:val="bullet"/>
      <w:lvlText w:val="•"/>
      <w:lvlJc w:val="left"/>
      <w:pPr>
        <w:ind w:left="3399" w:hanging="245"/>
      </w:pPr>
      <w:rPr>
        <w:rFonts w:hint="default"/>
        <w:lang w:val="en-US" w:eastAsia="en-US" w:bidi="ar-SA"/>
      </w:rPr>
    </w:lvl>
    <w:lvl w:ilvl="4" w:tplc="616CE926">
      <w:numFmt w:val="bullet"/>
      <w:lvlText w:val="•"/>
      <w:lvlJc w:val="left"/>
      <w:pPr>
        <w:ind w:left="4403" w:hanging="245"/>
      </w:pPr>
      <w:rPr>
        <w:rFonts w:hint="default"/>
        <w:lang w:val="en-US" w:eastAsia="en-US" w:bidi="ar-SA"/>
      </w:rPr>
    </w:lvl>
    <w:lvl w:ilvl="5" w:tplc="D5469FA2">
      <w:numFmt w:val="bullet"/>
      <w:lvlText w:val="•"/>
      <w:lvlJc w:val="left"/>
      <w:pPr>
        <w:ind w:left="5408" w:hanging="245"/>
      </w:pPr>
      <w:rPr>
        <w:rFonts w:hint="default"/>
        <w:lang w:val="en-US" w:eastAsia="en-US" w:bidi="ar-SA"/>
      </w:rPr>
    </w:lvl>
    <w:lvl w:ilvl="6" w:tplc="B0448F8C">
      <w:numFmt w:val="bullet"/>
      <w:lvlText w:val="•"/>
      <w:lvlJc w:val="left"/>
      <w:pPr>
        <w:ind w:left="6413" w:hanging="245"/>
      </w:pPr>
      <w:rPr>
        <w:rFonts w:hint="default"/>
        <w:lang w:val="en-US" w:eastAsia="en-US" w:bidi="ar-SA"/>
      </w:rPr>
    </w:lvl>
    <w:lvl w:ilvl="7" w:tplc="74B81E36">
      <w:numFmt w:val="bullet"/>
      <w:lvlText w:val="•"/>
      <w:lvlJc w:val="left"/>
      <w:pPr>
        <w:ind w:left="7418" w:hanging="245"/>
      </w:pPr>
      <w:rPr>
        <w:rFonts w:hint="default"/>
        <w:lang w:val="en-US" w:eastAsia="en-US" w:bidi="ar-SA"/>
      </w:rPr>
    </w:lvl>
    <w:lvl w:ilvl="8" w:tplc="4820522E">
      <w:numFmt w:val="bullet"/>
      <w:lvlText w:val="•"/>
      <w:lvlJc w:val="left"/>
      <w:pPr>
        <w:ind w:left="8422" w:hanging="245"/>
      </w:pPr>
      <w:rPr>
        <w:rFonts w:hint="default"/>
        <w:lang w:val="en-US" w:eastAsia="en-US" w:bidi="ar-SA"/>
      </w:rPr>
    </w:lvl>
  </w:abstractNum>
  <w:abstractNum w:abstractNumId="10" w15:restartNumberingAfterBreak="0">
    <w:nsid w:val="3B555AB4"/>
    <w:multiLevelType w:val="hybridMultilevel"/>
    <w:tmpl w:val="ED2407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3D87FC7"/>
    <w:multiLevelType w:val="hybridMultilevel"/>
    <w:tmpl w:val="936294EA"/>
    <w:lvl w:ilvl="0" w:tplc="6D0E1136">
      <w:start w:val="1"/>
      <w:numFmt w:val="bullet"/>
      <w:lvlText w:val=""/>
      <w:lvlJc w:val="left"/>
      <w:pPr>
        <w:ind w:left="360" w:hanging="360"/>
      </w:pPr>
      <w:rPr>
        <w:rFonts w:ascii="Wingdings" w:hAnsi="Wingdings" w:hint="default"/>
      </w:rPr>
    </w:lvl>
    <w:lvl w:ilvl="1" w:tplc="C854BADA">
      <w:start w:val="1"/>
      <w:numFmt w:val="bullet"/>
      <w:lvlText w:val="o"/>
      <w:lvlJc w:val="left"/>
      <w:pPr>
        <w:ind w:left="1080" w:hanging="360"/>
      </w:pPr>
      <w:rPr>
        <w:rFonts w:ascii="Courier New" w:hAnsi="Courier New" w:hint="default"/>
      </w:rPr>
    </w:lvl>
    <w:lvl w:ilvl="2" w:tplc="B6102650">
      <w:start w:val="1"/>
      <w:numFmt w:val="bullet"/>
      <w:lvlText w:val=""/>
      <w:lvlJc w:val="left"/>
      <w:pPr>
        <w:ind w:left="1800" w:hanging="360"/>
      </w:pPr>
      <w:rPr>
        <w:rFonts w:ascii="Wingdings" w:hAnsi="Wingdings" w:hint="default"/>
      </w:rPr>
    </w:lvl>
    <w:lvl w:ilvl="3" w:tplc="232EF176">
      <w:start w:val="1"/>
      <w:numFmt w:val="bullet"/>
      <w:lvlText w:val=""/>
      <w:lvlJc w:val="left"/>
      <w:pPr>
        <w:ind w:left="2520" w:hanging="360"/>
      </w:pPr>
      <w:rPr>
        <w:rFonts w:ascii="Symbol" w:hAnsi="Symbol" w:hint="default"/>
      </w:rPr>
    </w:lvl>
    <w:lvl w:ilvl="4" w:tplc="D51ABFBA">
      <w:start w:val="1"/>
      <w:numFmt w:val="bullet"/>
      <w:lvlText w:val="o"/>
      <w:lvlJc w:val="left"/>
      <w:pPr>
        <w:ind w:left="3240" w:hanging="360"/>
      </w:pPr>
      <w:rPr>
        <w:rFonts w:ascii="Courier New" w:hAnsi="Courier New" w:hint="default"/>
      </w:rPr>
    </w:lvl>
    <w:lvl w:ilvl="5" w:tplc="CAF46FF2">
      <w:start w:val="1"/>
      <w:numFmt w:val="bullet"/>
      <w:lvlText w:val=""/>
      <w:lvlJc w:val="left"/>
      <w:pPr>
        <w:ind w:left="3960" w:hanging="360"/>
      </w:pPr>
      <w:rPr>
        <w:rFonts w:ascii="Wingdings" w:hAnsi="Wingdings" w:hint="default"/>
      </w:rPr>
    </w:lvl>
    <w:lvl w:ilvl="6" w:tplc="EFCADD1C">
      <w:start w:val="1"/>
      <w:numFmt w:val="bullet"/>
      <w:lvlText w:val=""/>
      <w:lvlJc w:val="left"/>
      <w:pPr>
        <w:ind w:left="4680" w:hanging="360"/>
      </w:pPr>
      <w:rPr>
        <w:rFonts w:ascii="Symbol" w:hAnsi="Symbol" w:hint="default"/>
      </w:rPr>
    </w:lvl>
    <w:lvl w:ilvl="7" w:tplc="1AB29F42">
      <w:start w:val="1"/>
      <w:numFmt w:val="bullet"/>
      <w:lvlText w:val="o"/>
      <w:lvlJc w:val="left"/>
      <w:pPr>
        <w:ind w:left="5400" w:hanging="360"/>
      </w:pPr>
      <w:rPr>
        <w:rFonts w:ascii="Courier New" w:hAnsi="Courier New" w:hint="default"/>
      </w:rPr>
    </w:lvl>
    <w:lvl w:ilvl="8" w:tplc="45261814">
      <w:start w:val="1"/>
      <w:numFmt w:val="bullet"/>
      <w:lvlText w:val=""/>
      <w:lvlJc w:val="left"/>
      <w:pPr>
        <w:ind w:left="6120" w:hanging="360"/>
      </w:pPr>
      <w:rPr>
        <w:rFonts w:ascii="Wingdings" w:hAnsi="Wingdings" w:hint="default"/>
      </w:rPr>
    </w:lvl>
  </w:abstractNum>
  <w:abstractNum w:abstractNumId="12" w15:restartNumberingAfterBreak="0">
    <w:nsid w:val="449A1884"/>
    <w:multiLevelType w:val="multilevel"/>
    <w:tmpl w:val="4F2E28B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3" w15:restartNumberingAfterBreak="0">
    <w:nsid w:val="4BD33271"/>
    <w:multiLevelType w:val="hybridMultilevel"/>
    <w:tmpl w:val="A11AD3B2"/>
    <w:lvl w:ilvl="0" w:tplc="6FDCD286">
      <w:numFmt w:val="bullet"/>
      <w:lvlText w:val="•"/>
      <w:lvlJc w:val="left"/>
      <w:pPr>
        <w:ind w:left="720" w:hanging="360"/>
      </w:pPr>
      <w:rPr>
        <w:rFonts w:ascii="Arial" w:eastAsia="Arial" w:hAnsi="Arial" w:cs="Arial" w:hint="default"/>
        <w:w w:val="105"/>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E132A"/>
    <w:multiLevelType w:val="hybridMultilevel"/>
    <w:tmpl w:val="D152DD58"/>
    <w:lvl w:ilvl="0" w:tplc="2520BDF2">
      <w:start w:val="1"/>
      <w:numFmt w:val="bullet"/>
      <w:lvlText w:val=""/>
      <w:lvlJc w:val="left"/>
      <w:pPr>
        <w:ind w:left="720" w:hanging="360"/>
      </w:pPr>
      <w:rPr>
        <w:rFonts w:ascii="Symbol" w:hAnsi="Symbol" w:hint="default"/>
      </w:rPr>
    </w:lvl>
    <w:lvl w:ilvl="1" w:tplc="721E4190">
      <w:start w:val="1"/>
      <w:numFmt w:val="bullet"/>
      <w:lvlText w:val="o"/>
      <w:lvlJc w:val="left"/>
      <w:pPr>
        <w:ind w:left="1440" w:hanging="360"/>
      </w:pPr>
      <w:rPr>
        <w:rFonts w:ascii="Courier New" w:hAnsi="Courier New" w:hint="default"/>
      </w:rPr>
    </w:lvl>
    <w:lvl w:ilvl="2" w:tplc="7B3045B2">
      <w:start w:val="1"/>
      <w:numFmt w:val="bullet"/>
      <w:lvlText w:val=""/>
      <w:lvlJc w:val="left"/>
      <w:pPr>
        <w:ind w:left="2160" w:hanging="360"/>
      </w:pPr>
      <w:rPr>
        <w:rFonts w:ascii="Wingdings" w:hAnsi="Wingdings" w:hint="default"/>
      </w:rPr>
    </w:lvl>
    <w:lvl w:ilvl="3" w:tplc="3B54804C">
      <w:start w:val="1"/>
      <w:numFmt w:val="bullet"/>
      <w:lvlText w:val=""/>
      <w:lvlJc w:val="left"/>
      <w:pPr>
        <w:ind w:left="2880" w:hanging="360"/>
      </w:pPr>
      <w:rPr>
        <w:rFonts w:ascii="Symbol" w:hAnsi="Symbol" w:hint="default"/>
      </w:rPr>
    </w:lvl>
    <w:lvl w:ilvl="4" w:tplc="45E03046">
      <w:start w:val="1"/>
      <w:numFmt w:val="bullet"/>
      <w:lvlText w:val="o"/>
      <w:lvlJc w:val="left"/>
      <w:pPr>
        <w:ind w:left="3600" w:hanging="360"/>
      </w:pPr>
      <w:rPr>
        <w:rFonts w:ascii="Courier New" w:hAnsi="Courier New" w:hint="default"/>
      </w:rPr>
    </w:lvl>
    <w:lvl w:ilvl="5" w:tplc="6D4683A8">
      <w:start w:val="1"/>
      <w:numFmt w:val="bullet"/>
      <w:lvlText w:val=""/>
      <w:lvlJc w:val="left"/>
      <w:pPr>
        <w:ind w:left="4320" w:hanging="360"/>
      </w:pPr>
      <w:rPr>
        <w:rFonts w:ascii="Wingdings" w:hAnsi="Wingdings" w:hint="default"/>
      </w:rPr>
    </w:lvl>
    <w:lvl w:ilvl="6" w:tplc="39A609A0">
      <w:start w:val="1"/>
      <w:numFmt w:val="bullet"/>
      <w:lvlText w:val=""/>
      <w:lvlJc w:val="left"/>
      <w:pPr>
        <w:ind w:left="5040" w:hanging="360"/>
      </w:pPr>
      <w:rPr>
        <w:rFonts w:ascii="Symbol" w:hAnsi="Symbol" w:hint="default"/>
      </w:rPr>
    </w:lvl>
    <w:lvl w:ilvl="7" w:tplc="AE78DAA4">
      <w:start w:val="1"/>
      <w:numFmt w:val="bullet"/>
      <w:lvlText w:val="o"/>
      <w:lvlJc w:val="left"/>
      <w:pPr>
        <w:ind w:left="5760" w:hanging="360"/>
      </w:pPr>
      <w:rPr>
        <w:rFonts w:ascii="Courier New" w:hAnsi="Courier New" w:hint="default"/>
      </w:rPr>
    </w:lvl>
    <w:lvl w:ilvl="8" w:tplc="5E36A000">
      <w:start w:val="1"/>
      <w:numFmt w:val="bullet"/>
      <w:lvlText w:val=""/>
      <w:lvlJc w:val="left"/>
      <w:pPr>
        <w:ind w:left="6480" w:hanging="360"/>
      </w:pPr>
      <w:rPr>
        <w:rFonts w:ascii="Wingdings" w:hAnsi="Wingdings" w:hint="default"/>
      </w:rPr>
    </w:lvl>
  </w:abstractNum>
  <w:abstractNum w:abstractNumId="15" w15:restartNumberingAfterBreak="0">
    <w:nsid w:val="5D234BD6"/>
    <w:multiLevelType w:val="hybridMultilevel"/>
    <w:tmpl w:val="0C30020C"/>
    <w:lvl w:ilvl="0" w:tplc="CC345BE8">
      <w:start w:val="1"/>
      <w:numFmt w:val="bullet"/>
      <w:lvlText w:val=""/>
      <w:lvlJc w:val="left"/>
      <w:pPr>
        <w:ind w:left="720" w:hanging="360"/>
      </w:pPr>
      <w:rPr>
        <w:rFonts w:ascii="Wingdings" w:hAnsi="Wingdings" w:hint="default"/>
      </w:rPr>
    </w:lvl>
    <w:lvl w:ilvl="1" w:tplc="64D25B68">
      <w:start w:val="1"/>
      <w:numFmt w:val="bullet"/>
      <w:lvlText w:val="o"/>
      <w:lvlJc w:val="left"/>
      <w:pPr>
        <w:ind w:left="1440" w:hanging="360"/>
      </w:pPr>
      <w:rPr>
        <w:rFonts w:ascii="Courier New" w:hAnsi="Courier New" w:hint="default"/>
      </w:rPr>
    </w:lvl>
    <w:lvl w:ilvl="2" w:tplc="2C4A8F3E">
      <w:start w:val="1"/>
      <w:numFmt w:val="bullet"/>
      <w:lvlText w:val=""/>
      <w:lvlJc w:val="left"/>
      <w:pPr>
        <w:ind w:left="2160" w:hanging="360"/>
      </w:pPr>
      <w:rPr>
        <w:rFonts w:ascii="Wingdings" w:hAnsi="Wingdings" w:hint="default"/>
      </w:rPr>
    </w:lvl>
    <w:lvl w:ilvl="3" w:tplc="DFE024C2">
      <w:start w:val="1"/>
      <w:numFmt w:val="bullet"/>
      <w:lvlText w:val=""/>
      <w:lvlJc w:val="left"/>
      <w:pPr>
        <w:ind w:left="2880" w:hanging="360"/>
      </w:pPr>
      <w:rPr>
        <w:rFonts w:ascii="Symbol" w:hAnsi="Symbol" w:hint="default"/>
      </w:rPr>
    </w:lvl>
    <w:lvl w:ilvl="4" w:tplc="6B369102">
      <w:start w:val="1"/>
      <w:numFmt w:val="bullet"/>
      <w:lvlText w:val="o"/>
      <w:lvlJc w:val="left"/>
      <w:pPr>
        <w:ind w:left="3600" w:hanging="360"/>
      </w:pPr>
      <w:rPr>
        <w:rFonts w:ascii="Courier New" w:hAnsi="Courier New" w:hint="default"/>
      </w:rPr>
    </w:lvl>
    <w:lvl w:ilvl="5" w:tplc="81B80932">
      <w:start w:val="1"/>
      <w:numFmt w:val="bullet"/>
      <w:lvlText w:val=""/>
      <w:lvlJc w:val="left"/>
      <w:pPr>
        <w:ind w:left="4320" w:hanging="360"/>
      </w:pPr>
      <w:rPr>
        <w:rFonts w:ascii="Wingdings" w:hAnsi="Wingdings" w:hint="default"/>
      </w:rPr>
    </w:lvl>
    <w:lvl w:ilvl="6" w:tplc="3296331C">
      <w:start w:val="1"/>
      <w:numFmt w:val="bullet"/>
      <w:lvlText w:val=""/>
      <w:lvlJc w:val="left"/>
      <w:pPr>
        <w:ind w:left="5040" w:hanging="360"/>
      </w:pPr>
      <w:rPr>
        <w:rFonts w:ascii="Symbol" w:hAnsi="Symbol" w:hint="default"/>
      </w:rPr>
    </w:lvl>
    <w:lvl w:ilvl="7" w:tplc="3B860628">
      <w:start w:val="1"/>
      <w:numFmt w:val="bullet"/>
      <w:lvlText w:val="o"/>
      <w:lvlJc w:val="left"/>
      <w:pPr>
        <w:ind w:left="5760" w:hanging="360"/>
      </w:pPr>
      <w:rPr>
        <w:rFonts w:ascii="Courier New" w:hAnsi="Courier New" w:hint="default"/>
      </w:rPr>
    </w:lvl>
    <w:lvl w:ilvl="8" w:tplc="AA029588">
      <w:start w:val="1"/>
      <w:numFmt w:val="bullet"/>
      <w:lvlText w:val=""/>
      <w:lvlJc w:val="left"/>
      <w:pPr>
        <w:ind w:left="6480" w:hanging="360"/>
      </w:pPr>
      <w:rPr>
        <w:rFonts w:ascii="Wingdings" w:hAnsi="Wingdings" w:hint="default"/>
      </w:rPr>
    </w:lvl>
  </w:abstractNum>
  <w:abstractNum w:abstractNumId="16" w15:restartNumberingAfterBreak="0">
    <w:nsid w:val="61E2727A"/>
    <w:multiLevelType w:val="hybridMultilevel"/>
    <w:tmpl w:val="0690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7A1972"/>
    <w:multiLevelType w:val="hybridMultilevel"/>
    <w:tmpl w:val="3A622174"/>
    <w:lvl w:ilvl="0" w:tplc="6292DA8A">
      <w:start w:val="1"/>
      <w:numFmt w:val="bullet"/>
      <w:lvlText w:val="•"/>
      <w:lvlJc w:val="left"/>
      <w:pPr>
        <w:ind w:left="508" w:hanging="140"/>
      </w:pPr>
      <w:rPr>
        <w:rFonts w:ascii="Arial" w:hAnsi="Arial" w:hint="default"/>
        <w:w w:val="105"/>
        <w:lang w:val="en-US" w:eastAsia="en-US" w:bidi="ar-SA"/>
      </w:rPr>
    </w:lvl>
    <w:lvl w:ilvl="1" w:tplc="5F56CFAC">
      <w:numFmt w:val="bullet"/>
      <w:lvlText w:val="•"/>
      <w:lvlJc w:val="left"/>
      <w:pPr>
        <w:ind w:left="1504" w:hanging="140"/>
      </w:pPr>
      <w:rPr>
        <w:rFonts w:hint="default"/>
        <w:lang w:val="en-US" w:eastAsia="en-US" w:bidi="ar-SA"/>
      </w:rPr>
    </w:lvl>
    <w:lvl w:ilvl="2" w:tplc="B19C4F12">
      <w:numFmt w:val="bullet"/>
      <w:lvlText w:val="•"/>
      <w:lvlJc w:val="left"/>
      <w:pPr>
        <w:ind w:left="2509" w:hanging="140"/>
      </w:pPr>
      <w:rPr>
        <w:rFonts w:hint="default"/>
        <w:lang w:val="en-US" w:eastAsia="en-US" w:bidi="ar-SA"/>
      </w:rPr>
    </w:lvl>
    <w:lvl w:ilvl="3" w:tplc="C87242EE">
      <w:numFmt w:val="bullet"/>
      <w:lvlText w:val="•"/>
      <w:lvlJc w:val="left"/>
      <w:pPr>
        <w:ind w:left="3514" w:hanging="140"/>
      </w:pPr>
      <w:rPr>
        <w:rFonts w:hint="default"/>
        <w:lang w:val="en-US" w:eastAsia="en-US" w:bidi="ar-SA"/>
      </w:rPr>
    </w:lvl>
    <w:lvl w:ilvl="4" w:tplc="30581E3E">
      <w:numFmt w:val="bullet"/>
      <w:lvlText w:val="•"/>
      <w:lvlJc w:val="left"/>
      <w:pPr>
        <w:ind w:left="4518" w:hanging="140"/>
      </w:pPr>
      <w:rPr>
        <w:rFonts w:hint="default"/>
        <w:lang w:val="en-US" w:eastAsia="en-US" w:bidi="ar-SA"/>
      </w:rPr>
    </w:lvl>
    <w:lvl w:ilvl="5" w:tplc="74DE024E">
      <w:numFmt w:val="bullet"/>
      <w:lvlText w:val="•"/>
      <w:lvlJc w:val="left"/>
      <w:pPr>
        <w:ind w:left="5523" w:hanging="140"/>
      </w:pPr>
      <w:rPr>
        <w:rFonts w:hint="default"/>
        <w:lang w:val="en-US" w:eastAsia="en-US" w:bidi="ar-SA"/>
      </w:rPr>
    </w:lvl>
    <w:lvl w:ilvl="6" w:tplc="B44A1552">
      <w:numFmt w:val="bullet"/>
      <w:lvlText w:val="•"/>
      <w:lvlJc w:val="left"/>
      <w:pPr>
        <w:ind w:left="6528" w:hanging="140"/>
      </w:pPr>
      <w:rPr>
        <w:rFonts w:hint="default"/>
        <w:lang w:val="en-US" w:eastAsia="en-US" w:bidi="ar-SA"/>
      </w:rPr>
    </w:lvl>
    <w:lvl w:ilvl="7" w:tplc="58A2AA54">
      <w:numFmt w:val="bullet"/>
      <w:lvlText w:val="•"/>
      <w:lvlJc w:val="left"/>
      <w:pPr>
        <w:ind w:left="7533" w:hanging="140"/>
      </w:pPr>
      <w:rPr>
        <w:rFonts w:hint="default"/>
        <w:lang w:val="en-US" w:eastAsia="en-US" w:bidi="ar-SA"/>
      </w:rPr>
    </w:lvl>
    <w:lvl w:ilvl="8" w:tplc="E990B7AC">
      <w:numFmt w:val="bullet"/>
      <w:lvlText w:val="•"/>
      <w:lvlJc w:val="left"/>
      <w:pPr>
        <w:ind w:left="8537" w:hanging="140"/>
      </w:pPr>
      <w:rPr>
        <w:rFonts w:hint="default"/>
        <w:lang w:val="en-US" w:eastAsia="en-US" w:bidi="ar-SA"/>
      </w:rPr>
    </w:lvl>
  </w:abstractNum>
  <w:abstractNum w:abstractNumId="18" w15:restartNumberingAfterBreak="0">
    <w:nsid w:val="6E3817E7"/>
    <w:multiLevelType w:val="hybridMultilevel"/>
    <w:tmpl w:val="4BAA315A"/>
    <w:lvl w:ilvl="0" w:tplc="D74880CC">
      <w:start w:val="5"/>
      <w:numFmt w:val="decimal"/>
      <w:lvlText w:val="%1."/>
      <w:lvlJc w:val="left"/>
      <w:pPr>
        <w:ind w:left="720" w:hanging="360"/>
      </w:pPr>
    </w:lvl>
    <w:lvl w:ilvl="1" w:tplc="B2501D98">
      <w:start w:val="1"/>
      <w:numFmt w:val="lowerLetter"/>
      <w:lvlText w:val="%2."/>
      <w:lvlJc w:val="left"/>
      <w:pPr>
        <w:ind w:left="1440" w:hanging="360"/>
      </w:pPr>
    </w:lvl>
    <w:lvl w:ilvl="2" w:tplc="CCFA0B48">
      <w:start w:val="1"/>
      <w:numFmt w:val="lowerRoman"/>
      <w:lvlText w:val="%3."/>
      <w:lvlJc w:val="right"/>
      <w:pPr>
        <w:ind w:left="2160" w:hanging="180"/>
      </w:pPr>
    </w:lvl>
    <w:lvl w:ilvl="3" w:tplc="23307108">
      <w:start w:val="1"/>
      <w:numFmt w:val="decimal"/>
      <w:lvlText w:val="%4."/>
      <w:lvlJc w:val="left"/>
      <w:pPr>
        <w:ind w:left="2880" w:hanging="360"/>
      </w:pPr>
    </w:lvl>
    <w:lvl w:ilvl="4" w:tplc="BB68FF50">
      <w:start w:val="1"/>
      <w:numFmt w:val="lowerLetter"/>
      <w:lvlText w:val="%5."/>
      <w:lvlJc w:val="left"/>
      <w:pPr>
        <w:ind w:left="3600" w:hanging="360"/>
      </w:pPr>
    </w:lvl>
    <w:lvl w:ilvl="5" w:tplc="60CA9EB6">
      <w:start w:val="1"/>
      <w:numFmt w:val="lowerRoman"/>
      <w:lvlText w:val="%6."/>
      <w:lvlJc w:val="right"/>
      <w:pPr>
        <w:ind w:left="4320" w:hanging="180"/>
      </w:pPr>
    </w:lvl>
    <w:lvl w:ilvl="6" w:tplc="585AE588">
      <w:start w:val="1"/>
      <w:numFmt w:val="decimal"/>
      <w:lvlText w:val="%7."/>
      <w:lvlJc w:val="left"/>
      <w:pPr>
        <w:ind w:left="5040" w:hanging="360"/>
      </w:pPr>
    </w:lvl>
    <w:lvl w:ilvl="7" w:tplc="2012A446">
      <w:start w:val="1"/>
      <w:numFmt w:val="lowerLetter"/>
      <w:lvlText w:val="%8."/>
      <w:lvlJc w:val="left"/>
      <w:pPr>
        <w:ind w:left="5760" w:hanging="360"/>
      </w:pPr>
    </w:lvl>
    <w:lvl w:ilvl="8" w:tplc="B3C042C0">
      <w:start w:val="1"/>
      <w:numFmt w:val="lowerRoman"/>
      <w:lvlText w:val="%9."/>
      <w:lvlJc w:val="right"/>
      <w:pPr>
        <w:ind w:left="6480" w:hanging="180"/>
      </w:pPr>
    </w:lvl>
  </w:abstractNum>
  <w:abstractNum w:abstractNumId="19" w15:restartNumberingAfterBreak="0">
    <w:nsid w:val="736D67BA"/>
    <w:multiLevelType w:val="hybridMultilevel"/>
    <w:tmpl w:val="4F3AEE12"/>
    <w:lvl w:ilvl="0" w:tplc="BF581D5C">
      <w:start w:val="1"/>
      <w:numFmt w:val="bullet"/>
      <w:lvlText w:val=""/>
      <w:lvlJc w:val="left"/>
      <w:pPr>
        <w:ind w:left="720" w:hanging="360"/>
      </w:pPr>
      <w:rPr>
        <w:rFonts w:ascii="Symbol" w:hAnsi="Symbol" w:hint="default"/>
      </w:rPr>
    </w:lvl>
    <w:lvl w:ilvl="1" w:tplc="B650C98C">
      <w:start w:val="1"/>
      <w:numFmt w:val="bullet"/>
      <w:lvlText w:val="o"/>
      <w:lvlJc w:val="left"/>
      <w:pPr>
        <w:ind w:left="1440" w:hanging="360"/>
      </w:pPr>
      <w:rPr>
        <w:rFonts w:ascii="Courier New" w:hAnsi="Courier New" w:hint="default"/>
      </w:rPr>
    </w:lvl>
    <w:lvl w:ilvl="2" w:tplc="93A48868">
      <w:start w:val="1"/>
      <w:numFmt w:val="bullet"/>
      <w:lvlText w:val=""/>
      <w:lvlJc w:val="left"/>
      <w:pPr>
        <w:ind w:left="2160" w:hanging="360"/>
      </w:pPr>
      <w:rPr>
        <w:rFonts w:ascii="Wingdings" w:hAnsi="Wingdings" w:hint="default"/>
      </w:rPr>
    </w:lvl>
    <w:lvl w:ilvl="3" w:tplc="9BCA300E">
      <w:start w:val="1"/>
      <w:numFmt w:val="bullet"/>
      <w:lvlText w:val=""/>
      <w:lvlJc w:val="left"/>
      <w:pPr>
        <w:ind w:left="2880" w:hanging="360"/>
      </w:pPr>
      <w:rPr>
        <w:rFonts w:ascii="Symbol" w:hAnsi="Symbol" w:hint="default"/>
      </w:rPr>
    </w:lvl>
    <w:lvl w:ilvl="4" w:tplc="E2E0394E">
      <w:start w:val="1"/>
      <w:numFmt w:val="bullet"/>
      <w:lvlText w:val="o"/>
      <w:lvlJc w:val="left"/>
      <w:pPr>
        <w:ind w:left="3600" w:hanging="360"/>
      </w:pPr>
      <w:rPr>
        <w:rFonts w:ascii="Courier New" w:hAnsi="Courier New" w:hint="default"/>
      </w:rPr>
    </w:lvl>
    <w:lvl w:ilvl="5" w:tplc="E1AAC49E">
      <w:start w:val="1"/>
      <w:numFmt w:val="bullet"/>
      <w:lvlText w:val=""/>
      <w:lvlJc w:val="left"/>
      <w:pPr>
        <w:ind w:left="4320" w:hanging="360"/>
      </w:pPr>
      <w:rPr>
        <w:rFonts w:ascii="Wingdings" w:hAnsi="Wingdings" w:hint="default"/>
      </w:rPr>
    </w:lvl>
    <w:lvl w:ilvl="6" w:tplc="5DD40184">
      <w:start w:val="1"/>
      <w:numFmt w:val="bullet"/>
      <w:lvlText w:val=""/>
      <w:lvlJc w:val="left"/>
      <w:pPr>
        <w:ind w:left="5040" w:hanging="360"/>
      </w:pPr>
      <w:rPr>
        <w:rFonts w:ascii="Symbol" w:hAnsi="Symbol" w:hint="default"/>
      </w:rPr>
    </w:lvl>
    <w:lvl w:ilvl="7" w:tplc="9A181E9C">
      <w:start w:val="1"/>
      <w:numFmt w:val="bullet"/>
      <w:lvlText w:val="o"/>
      <w:lvlJc w:val="left"/>
      <w:pPr>
        <w:ind w:left="5760" w:hanging="360"/>
      </w:pPr>
      <w:rPr>
        <w:rFonts w:ascii="Courier New" w:hAnsi="Courier New" w:hint="default"/>
      </w:rPr>
    </w:lvl>
    <w:lvl w:ilvl="8" w:tplc="8BDE4F9E">
      <w:start w:val="1"/>
      <w:numFmt w:val="bullet"/>
      <w:lvlText w:val=""/>
      <w:lvlJc w:val="left"/>
      <w:pPr>
        <w:ind w:left="6480" w:hanging="360"/>
      </w:pPr>
      <w:rPr>
        <w:rFonts w:ascii="Wingdings" w:hAnsi="Wingdings" w:hint="default"/>
      </w:rPr>
    </w:lvl>
  </w:abstractNum>
  <w:num w:numId="1" w16cid:durableId="240019886">
    <w:abstractNumId w:val="1"/>
  </w:num>
  <w:num w:numId="2" w16cid:durableId="229853135">
    <w:abstractNumId w:val="18"/>
  </w:num>
  <w:num w:numId="3" w16cid:durableId="1656034185">
    <w:abstractNumId w:val="4"/>
  </w:num>
  <w:num w:numId="4" w16cid:durableId="1897087879">
    <w:abstractNumId w:val="6"/>
  </w:num>
  <w:num w:numId="5" w16cid:durableId="1961498948">
    <w:abstractNumId w:val="11"/>
  </w:num>
  <w:num w:numId="6" w16cid:durableId="1530289975">
    <w:abstractNumId w:val="7"/>
  </w:num>
  <w:num w:numId="7" w16cid:durableId="58093470">
    <w:abstractNumId w:val="5"/>
  </w:num>
  <w:num w:numId="8" w16cid:durableId="1960187133">
    <w:abstractNumId w:val="12"/>
  </w:num>
  <w:num w:numId="9" w16cid:durableId="1404109811">
    <w:abstractNumId w:val="15"/>
  </w:num>
  <w:num w:numId="10" w16cid:durableId="1796368675">
    <w:abstractNumId w:val="19"/>
  </w:num>
  <w:num w:numId="11" w16cid:durableId="79789439">
    <w:abstractNumId w:val="14"/>
  </w:num>
  <w:num w:numId="12" w16cid:durableId="1479882953">
    <w:abstractNumId w:val="17"/>
  </w:num>
  <w:num w:numId="13" w16cid:durableId="485781175">
    <w:abstractNumId w:val="9"/>
  </w:num>
  <w:num w:numId="14" w16cid:durableId="1811173586">
    <w:abstractNumId w:val="3"/>
  </w:num>
  <w:num w:numId="15" w16cid:durableId="840319940">
    <w:abstractNumId w:val="10"/>
  </w:num>
  <w:num w:numId="16" w16cid:durableId="1127360749">
    <w:abstractNumId w:val="8"/>
  </w:num>
  <w:num w:numId="17" w16cid:durableId="1644240507">
    <w:abstractNumId w:val="2"/>
  </w:num>
  <w:num w:numId="18" w16cid:durableId="1455174327">
    <w:abstractNumId w:val="0"/>
  </w:num>
  <w:num w:numId="19" w16cid:durableId="647437324">
    <w:abstractNumId w:val="16"/>
  </w:num>
  <w:num w:numId="20" w16cid:durableId="15277908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921"/>
    <w:rsid w:val="00031301"/>
    <w:rsid w:val="000C6D49"/>
    <w:rsid w:val="00101193"/>
    <w:rsid w:val="001016F9"/>
    <w:rsid w:val="00111AAD"/>
    <w:rsid w:val="00125190"/>
    <w:rsid w:val="001744B2"/>
    <w:rsid w:val="001E2F55"/>
    <w:rsid w:val="00214A82"/>
    <w:rsid w:val="002C63D8"/>
    <w:rsid w:val="002E5263"/>
    <w:rsid w:val="00310D3A"/>
    <w:rsid w:val="00312076"/>
    <w:rsid w:val="00362246"/>
    <w:rsid w:val="003625CE"/>
    <w:rsid w:val="00367907"/>
    <w:rsid w:val="00377F84"/>
    <w:rsid w:val="00384EEA"/>
    <w:rsid w:val="003C5587"/>
    <w:rsid w:val="004B2CE8"/>
    <w:rsid w:val="00512F0C"/>
    <w:rsid w:val="005611B5"/>
    <w:rsid w:val="005B35C6"/>
    <w:rsid w:val="00651CD8"/>
    <w:rsid w:val="00663A77"/>
    <w:rsid w:val="006F3280"/>
    <w:rsid w:val="007F37AF"/>
    <w:rsid w:val="008010AA"/>
    <w:rsid w:val="0084389A"/>
    <w:rsid w:val="00863D30"/>
    <w:rsid w:val="008651EE"/>
    <w:rsid w:val="00866480"/>
    <w:rsid w:val="009256B2"/>
    <w:rsid w:val="0099130E"/>
    <w:rsid w:val="00A041B6"/>
    <w:rsid w:val="00A53215"/>
    <w:rsid w:val="00A93921"/>
    <w:rsid w:val="00B14E0E"/>
    <w:rsid w:val="00C2370F"/>
    <w:rsid w:val="00C5272B"/>
    <w:rsid w:val="00C752E3"/>
    <w:rsid w:val="00C9230F"/>
    <w:rsid w:val="00CB1C13"/>
    <w:rsid w:val="00D33F31"/>
    <w:rsid w:val="00E559C6"/>
    <w:rsid w:val="00EC1257"/>
    <w:rsid w:val="00F0175D"/>
    <w:rsid w:val="00F807CE"/>
    <w:rsid w:val="00F97099"/>
    <w:rsid w:val="0289F9AB"/>
    <w:rsid w:val="02A83E07"/>
    <w:rsid w:val="03BAB210"/>
    <w:rsid w:val="04173CCA"/>
    <w:rsid w:val="05570335"/>
    <w:rsid w:val="05C19A6D"/>
    <w:rsid w:val="073765DE"/>
    <w:rsid w:val="07E9A19A"/>
    <w:rsid w:val="07FED880"/>
    <w:rsid w:val="0E3C2EEC"/>
    <w:rsid w:val="11481513"/>
    <w:rsid w:val="1173CFAE"/>
    <w:rsid w:val="130FA00F"/>
    <w:rsid w:val="159890EA"/>
    <w:rsid w:val="1660692E"/>
    <w:rsid w:val="1B345B15"/>
    <w:rsid w:val="1B5FC500"/>
    <w:rsid w:val="1D909A65"/>
    <w:rsid w:val="1E5252B6"/>
    <w:rsid w:val="1E691417"/>
    <w:rsid w:val="1E6B7B13"/>
    <w:rsid w:val="1FEE2317"/>
    <w:rsid w:val="214CFE06"/>
    <w:rsid w:val="2325C3D9"/>
    <w:rsid w:val="23BF82AC"/>
    <w:rsid w:val="2B7E579D"/>
    <w:rsid w:val="2D3FABA1"/>
    <w:rsid w:val="2F98FA52"/>
    <w:rsid w:val="3068DEAB"/>
    <w:rsid w:val="30E02C84"/>
    <w:rsid w:val="30F88A98"/>
    <w:rsid w:val="3132D044"/>
    <w:rsid w:val="32131CC4"/>
    <w:rsid w:val="343B23F1"/>
    <w:rsid w:val="354ABD86"/>
    <w:rsid w:val="368AA53D"/>
    <w:rsid w:val="36A9A162"/>
    <w:rsid w:val="36BFBEAE"/>
    <w:rsid w:val="36E68DE7"/>
    <w:rsid w:val="386C030A"/>
    <w:rsid w:val="398738DB"/>
    <w:rsid w:val="3A6CC7B6"/>
    <w:rsid w:val="3ACAD6C9"/>
    <w:rsid w:val="3BE49EAC"/>
    <w:rsid w:val="3C0390AB"/>
    <w:rsid w:val="3C089817"/>
    <w:rsid w:val="3CE85073"/>
    <w:rsid w:val="3D806F0D"/>
    <w:rsid w:val="40225831"/>
    <w:rsid w:val="4070B081"/>
    <w:rsid w:val="40F50541"/>
    <w:rsid w:val="426BBC8A"/>
    <w:rsid w:val="42B26C49"/>
    <w:rsid w:val="435F19DB"/>
    <w:rsid w:val="43851959"/>
    <w:rsid w:val="44349389"/>
    <w:rsid w:val="44BC1978"/>
    <w:rsid w:val="4B8FAA7A"/>
    <w:rsid w:val="4C509A2D"/>
    <w:rsid w:val="4DC24D72"/>
    <w:rsid w:val="4DEC6A8E"/>
    <w:rsid w:val="4F77C6F4"/>
    <w:rsid w:val="5083CBDE"/>
    <w:rsid w:val="5300D691"/>
    <w:rsid w:val="544AB753"/>
    <w:rsid w:val="5C9B80F5"/>
    <w:rsid w:val="5DBB758F"/>
    <w:rsid w:val="5FBFF722"/>
    <w:rsid w:val="60680490"/>
    <w:rsid w:val="6080C74B"/>
    <w:rsid w:val="636B0CA5"/>
    <w:rsid w:val="666AD6B1"/>
    <w:rsid w:val="6806A712"/>
    <w:rsid w:val="69231169"/>
    <w:rsid w:val="6BAB37FB"/>
    <w:rsid w:val="6CB73CE5"/>
    <w:rsid w:val="6D7743C0"/>
    <w:rsid w:val="6E0D0384"/>
    <w:rsid w:val="6E16D148"/>
    <w:rsid w:val="6F131421"/>
    <w:rsid w:val="6FBCF28F"/>
    <w:rsid w:val="70AEE482"/>
    <w:rsid w:val="71421490"/>
    <w:rsid w:val="73A48E45"/>
    <w:rsid w:val="79F0EDFE"/>
    <w:rsid w:val="7A2F87DC"/>
    <w:rsid w:val="7CE088A3"/>
    <w:rsid w:val="7E02AD4B"/>
    <w:rsid w:val="7E3F337E"/>
    <w:rsid w:val="7E8D3CCC"/>
    <w:rsid w:val="7EE740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28825"/>
  <w15:docId w15:val="{18F9E0C0-22A5-6547-B860-F16B9A8F6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
    <w:qFormat/>
    <w:pPr>
      <w:spacing w:before="91"/>
      <w:ind w:left="4401" w:right="4385"/>
      <w:jc w:val="center"/>
    </w:pPr>
    <w:rPr>
      <w:b/>
      <w:bCs/>
      <w:sz w:val="29"/>
      <w:szCs w:val="29"/>
    </w:rPr>
  </w:style>
  <w:style w:type="paragraph" w:styleId="ListParagraph">
    <w:name w:val="List Paragraph"/>
    <w:basedOn w:val="Normal"/>
    <w:uiPriority w:val="1"/>
    <w:qFormat/>
    <w:pPr>
      <w:ind w:left="106" w:hanging="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14A82"/>
    <w:rPr>
      <w:color w:val="0000FF"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559C6"/>
    <w:pPr>
      <w:tabs>
        <w:tab w:val="center" w:pos="4680"/>
        <w:tab w:val="right" w:pos="9360"/>
      </w:tabs>
    </w:pPr>
  </w:style>
  <w:style w:type="character" w:customStyle="1" w:styleId="HeaderChar">
    <w:name w:val="Header Char"/>
    <w:basedOn w:val="DefaultParagraphFont"/>
    <w:link w:val="Header"/>
    <w:uiPriority w:val="99"/>
    <w:rsid w:val="00E559C6"/>
    <w:rPr>
      <w:rFonts w:ascii="Arial" w:eastAsia="Arial" w:hAnsi="Arial" w:cs="Arial"/>
    </w:rPr>
  </w:style>
  <w:style w:type="paragraph" w:styleId="Footer">
    <w:name w:val="footer"/>
    <w:basedOn w:val="Normal"/>
    <w:link w:val="FooterChar"/>
    <w:uiPriority w:val="99"/>
    <w:unhideWhenUsed/>
    <w:rsid w:val="00E559C6"/>
    <w:pPr>
      <w:tabs>
        <w:tab w:val="center" w:pos="4680"/>
        <w:tab w:val="right" w:pos="9360"/>
      </w:tabs>
    </w:pPr>
  </w:style>
  <w:style w:type="character" w:customStyle="1" w:styleId="FooterChar">
    <w:name w:val="Footer Char"/>
    <w:basedOn w:val="DefaultParagraphFont"/>
    <w:link w:val="Footer"/>
    <w:uiPriority w:val="99"/>
    <w:rsid w:val="00E559C6"/>
    <w:rPr>
      <w:rFonts w:ascii="Arial" w:eastAsia="Arial" w:hAnsi="Arial" w:cs="Arial"/>
    </w:rPr>
  </w:style>
  <w:style w:type="paragraph" w:styleId="BalloonText">
    <w:name w:val="Balloon Text"/>
    <w:basedOn w:val="Normal"/>
    <w:link w:val="BalloonTextChar"/>
    <w:uiPriority w:val="99"/>
    <w:semiHidden/>
    <w:unhideWhenUsed/>
    <w:rsid w:val="00F970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7099"/>
    <w:rPr>
      <w:rFonts w:ascii="Lucida Grande" w:eastAsia="Arial"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n.gov/content/dam/tn/workforce/documents/ProgramManagement/Key_Performance_Indicators_Policy_signed_6-18-2021.pdf" TargetMode="Externa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http://www.tnpathfinder.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A04A815F99C54B8B321BFDC8143AE6" ma:contentTypeVersion="11" ma:contentTypeDescription="Create a new document." ma:contentTypeScope="" ma:versionID="34dfc9191269ff03a091e8f3a68896ea">
  <xsd:schema xmlns:xsd="http://www.w3.org/2001/XMLSchema" xmlns:xs="http://www.w3.org/2001/XMLSchema" xmlns:p="http://schemas.microsoft.com/office/2006/metadata/properties" xmlns:ns3="992e86cd-1ec0-493a-a9e3-857959c11c65" xmlns:ns4="a0b87ce5-d986-478f-8ca7-c808022caa06" targetNamespace="http://schemas.microsoft.com/office/2006/metadata/properties" ma:root="true" ma:fieldsID="c55a8ec1eb2303ad801c348c2333b65a" ns3:_="" ns4:_="">
    <xsd:import namespace="992e86cd-1ec0-493a-a9e3-857959c11c65"/>
    <xsd:import namespace="a0b87ce5-d986-478f-8ca7-c808022caa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2e86cd-1ec0-493a-a9e3-857959c11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b87ce5-d986-478f-8ca7-c808022caa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D6CC61-9E4B-476F-8E13-57E4FC5104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CB3504-043E-504D-B468-EB78C2D9B95C}">
  <ds:schemaRefs>
    <ds:schemaRef ds:uri="http://schemas.openxmlformats.org/officeDocument/2006/bibliography"/>
  </ds:schemaRefs>
</ds:datastoreItem>
</file>

<file path=customXml/itemProps3.xml><?xml version="1.0" encoding="utf-8"?>
<ds:datastoreItem xmlns:ds="http://schemas.openxmlformats.org/officeDocument/2006/customXml" ds:itemID="{684F386C-26B4-406C-AE08-B8762D0340B0}">
  <ds:schemaRefs>
    <ds:schemaRef ds:uri="http://schemas.microsoft.com/sharepoint/v3/contenttype/forms"/>
  </ds:schemaRefs>
</ds:datastoreItem>
</file>

<file path=customXml/itemProps4.xml><?xml version="1.0" encoding="utf-8"?>
<ds:datastoreItem xmlns:ds="http://schemas.openxmlformats.org/officeDocument/2006/customXml" ds:itemID="{22B71024-BDA5-4950-A1D3-D71EA6C02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2e86cd-1ec0-493a-a9e3-857959c11c65"/>
    <ds:schemaRef ds:uri="a0b87ce5-d986-478f-8ca7-c808022ca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3784</Words>
  <Characters>21570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Cole</dc:creator>
  <cp:lastModifiedBy>Victor Oakley</cp:lastModifiedBy>
  <cp:revision>2</cp:revision>
  <dcterms:created xsi:type="dcterms:W3CDTF">2022-11-01T19:18:00Z</dcterms:created>
  <dcterms:modified xsi:type="dcterms:W3CDTF">2022-11-01T19:18:00Z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2022-02-16T00:00:00Z</vt:filetime>
  </property>
  <property fmtid="{D5CDD505-2E9C-101B-9397-08002B2CF9AE}" pid="3" name="Creator">
    <vt:lpwstr>Canon </vt:lpwstr>
  </property>
  <property fmtid="{D5CDD505-2E9C-101B-9397-08002B2CF9AE}" pid="4" name="LastSaved">
    <vt:filetime>2022-02-16T00:00:00Z</vt:filetime>
  </property>
  <property fmtid="{D5CDD505-2E9C-101B-9397-08002B2CF9AE}" pid="5" name="ContentTypeId">
    <vt:lpwstr>0x010100CFA04A815F99C54B8B321BFDC8143AE6</vt:lpwstr>
  </property>
</Properties>
</file>